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1618" w:rsidR="00EE1618" w:rsidP="006F756F" w:rsidRDefault="00EE1618" w14:paraId="351296DC" w14:textId="6C129F43">
      <w:pPr>
        <w:rPr>
          <w:rFonts w:eastAsia="Verdana"/>
          <w:b/>
          <w:bCs/>
          <w:iCs/>
          <w:sz w:val="22"/>
          <w:szCs w:val="22"/>
        </w:rPr>
      </w:pPr>
      <w:r w:rsidRPr="00EE1618">
        <w:rPr>
          <w:rFonts w:eastAsia="Verdana"/>
          <w:b/>
          <w:bCs/>
          <w:iCs/>
          <w:sz w:val="22"/>
          <w:szCs w:val="22"/>
        </w:rPr>
        <w:t xml:space="preserve">Appendix </w:t>
      </w:r>
      <w:r w:rsidR="005675E3">
        <w:rPr>
          <w:rFonts w:eastAsia="Verdana"/>
          <w:b/>
          <w:bCs/>
          <w:iCs/>
          <w:sz w:val="22"/>
          <w:szCs w:val="22"/>
        </w:rPr>
        <w:t>G</w:t>
      </w:r>
      <w:r w:rsidRPr="00EE1618">
        <w:rPr>
          <w:rFonts w:eastAsia="Verdana"/>
          <w:b/>
          <w:bCs/>
          <w:iCs/>
          <w:sz w:val="22"/>
          <w:szCs w:val="22"/>
        </w:rPr>
        <w:t>: Role of the Designated Safeguarding Lead</w:t>
      </w:r>
      <w:r>
        <w:rPr>
          <w:rFonts w:eastAsia="Verdana"/>
          <w:b/>
          <w:bCs/>
          <w:iCs/>
          <w:sz w:val="22"/>
          <w:szCs w:val="22"/>
        </w:rPr>
        <w:t xml:space="preserve"> (DSL)</w:t>
      </w:r>
    </w:p>
    <w:tbl>
      <w:tblPr>
        <w:tblStyle w:val="TableGrid"/>
        <w:tblW w:w="0" w:type="auto"/>
        <w:tblLook w:val="04A0" w:firstRow="1" w:lastRow="0" w:firstColumn="1" w:lastColumn="0" w:noHBand="0" w:noVBand="1"/>
      </w:tblPr>
      <w:tblGrid>
        <w:gridCol w:w="13948"/>
      </w:tblGrid>
      <w:tr w:rsidR="008567A3" w:rsidTr="6C6EE1B9" w14:paraId="5F746BF1" w14:textId="77777777">
        <w:tc>
          <w:tcPr>
            <w:tcW w:w="13948" w:type="dxa"/>
            <w:tcMar/>
          </w:tcPr>
          <w:p w:rsidRPr="00F56E5B" w:rsidR="008567A3" w:rsidP="008567A3" w:rsidRDefault="008567A3" w14:paraId="4BD619C2" w14:textId="77777777">
            <w:pPr>
              <w:jc w:val="both"/>
              <w:rPr>
                <w:rFonts w:eastAsia="Verdana"/>
                <w:sz w:val="22"/>
                <w:szCs w:val="22"/>
              </w:rPr>
            </w:pPr>
            <w:r w:rsidRPr="00F56E5B">
              <w:rPr>
                <w:rFonts w:eastAsia="Verdana"/>
                <w:sz w:val="22"/>
                <w:szCs w:val="22"/>
              </w:rPr>
              <w:t xml:space="preserve">A Designated </w:t>
            </w:r>
            <w:r>
              <w:rPr>
                <w:rFonts w:eastAsia="Verdana"/>
                <w:sz w:val="22"/>
                <w:szCs w:val="22"/>
              </w:rPr>
              <w:t>Safeguarding Lead</w:t>
            </w:r>
            <w:r w:rsidRPr="00F56E5B">
              <w:rPr>
                <w:rFonts w:eastAsia="Verdana"/>
                <w:sz w:val="22"/>
                <w:szCs w:val="22"/>
              </w:rPr>
              <w:t xml:space="preserve"> should be:</w:t>
            </w:r>
          </w:p>
          <w:p w:rsidRPr="00F56E5B" w:rsidR="008567A3" w:rsidP="008567A3" w:rsidRDefault="008567A3" w14:paraId="6FA6FCBE" w14:textId="6E8ECD59">
            <w:pPr>
              <w:pStyle w:val="ListParagraph"/>
              <w:numPr>
                <w:ilvl w:val="0"/>
                <w:numId w:val="1"/>
              </w:numPr>
              <w:jc w:val="both"/>
              <w:rPr>
                <w:rFonts w:eastAsia="Verdana"/>
                <w:sz w:val="22"/>
                <w:szCs w:val="22"/>
              </w:rPr>
            </w:pPr>
            <w:r w:rsidRPr="6C6EE1B9" w:rsidR="6C6EE1B9">
              <w:rPr>
                <w:rFonts w:eastAsia="Verdana"/>
                <w:sz w:val="22"/>
                <w:szCs w:val="22"/>
              </w:rPr>
              <w:t>Someone who understands the context in which coaches and young people or adults are operating.</w:t>
            </w:r>
          </w:p>
          <w:p w:rsidRPr="00F56E5B" w:rsidR="008567A3" w:rsidP="008567A3" w:rsidRDefault="008567A3" w14:paraId="743AF9FC" w14:textId="77777777">
            <w:pPr>
              <w:jc w:val="both"/>
              <w:rPr>
                <w:rFonts w:eastAsia="Verdana"/>
                <w:sz w:val="22"/>
                <w:szCs w:val="22"/>
              </w:rPr>
            </w:pPr>
          </w:p>
          <w:p w:rsidRPr="00F56E5B" w:rsidR="008567A3" w:rsidP="008567A3" w:rsidRDefault="008567A3" w14:paraId="15952738" w14:textId="77777777">
            <w:pPr>
              <w:pStyle w:val="ListParagraph"/>
              <w:numPr>
                <w:ilvl w:val="0"/>
                <w:numId w:val="1"/>
              </w:numPr>
              <w:jc w:val="both"/>
              <w:rPr>
                <w:rFonts w:eastAsia="Verdana"/>
                <w:sz w:val="22"/>
                <w:szCs w:val="22"/>
              </w:rPr>
            </w:pPr>
            <w:r w:rsidRPr="00F56E5B">
              <w:rPr>
                <w:rFonts w:eastAsia="Verdana"/>
                <w:sz w:val="22"/>
                <w:szCs w:val="22"/>
              </w:rPr>
              <w:t xml:space="preserve">Someone who has basic knowledge of core legislation, government guidance and roles and responsibilities of statutory agencies, along with Active Gloucestershire’s policy and procedures. </w:t>
            </w:r>
          </w:p>
          <w:p w:rsidRPr="00F56E5B" w:rsidR="008567A3" w:rsidP="008567A3" w:rsidRDefault="008567A3" w14:paraId="160E4DC3" w14:textId="77777777">
            <w:pPr>
              <w:pStyle w:val="ListParagraph"/>
              <w:jc w:val="both"/>
              <w:rPr>
                <w:rFonts w:eastAsia="Verdana"/>
                <w:sz w:val="22"/>
                <w:szCs w:val="22"/>
              </w:rPr>
            </w:pPr>
          </w:p>
          <w:p w:rsidRPr="00F56E5B" w:rsidR="008567A3" w:rsidP="008567A3" w:rsidRDefault="008567A3" w14:paraId="3DC9F114" w14:textId="77777777">
            <w:pPr>
              <w:pStyle w:val="ListParagraph"/>
              <w:numPr>
                <w:ilvl w:val="0"/>
                <w:numId w:val="1"/>
              </w:numPr>
              <w:jc w:val="both"/>
              <w:rPr>
                <w:rFonts w:eastAsia="Verdana"/>
                <w:sz w:val="22"/>
                <w:szCs w:val="22"/>
              </w:rPr>
            </w:pPr>
            <w:r w:rsidRPr="00F56E5B">
              <w:rPr>
                <w:rFonts w:eastAsia="Verdana"/>
                <w:sz w:val="22"/>
                <w:szCs w:val="22"/>
              </w:rPr>
              <w:t>Someone who has the skills, knowledge and understanding of development of young people.</w:t>
            </w:r>
          </w:p>
          <w:p w:rsidRPr="00F56E5B" w:rsidR="008567A3" w:rsidP="008567A3" w:rsidRDefault="008567A3" w14:paraId="073271CC" w14:textId="77777777">
            <w:pPr>
              <w:jc w:val="both"/>
              <w:rPr>
                <w:rFonts w:eastAsia="Verdana"/>
                <w:sz w:val="22"/>
                <w:szCs w:val="22"/>
              </w:rPr>
            </w:pPr>
          </w:p>
          <w:p w:rsidRPr="00F56E5B" w:rsidR="008567A3" w:rsidP="008567A3" w:rsidRDefault="008567A3" w14:paraId="3544574E" w14:textId="2B1FAA3B">
            <w:pPr>
              <w:pStyle w:val="ListParagraph"/>
              <w:numPr>
                <w:ilvl w:val="0"/>
                <w:numId w:val="1"/>
              </w:numPr>
              <w:jc w:val="both"/>
              <w:rPr>
                <w:rFonts w:eastAsia="Verdana"/>
                <w:sz w:val="22"/>
                <w:szCs w:val="22"/>
              </w:rPr>
            </w:pPr>
            <w:r w:rsidRPr="6C6EE1B9" w:rsidR="6C6EE1B9">
              <w:rPr>
                <w:rFonts w:eastAsia="Verdana"/>
                <w:sz w:val="22"/>
                <w:szCs w:val="22"/>
              </w:rPr>
              <w:t>Someone who understands the need to safeguard and promote the welfare of young people and adults (especially adults at risk) and can recognise poor practice or abuse.</w:t>
            </w:r>
          </w:p>
          <w:p w:rsidRPr="00F56E5B" w:rsidR="008567A3" w:rsidP="008567A3" w:rsidRDefault="008567A3" w14:paraId="19D62E05" w14:textId="77777777">
            <w:pPr>
              <w:jc w:val="both"/>
              <w:rPr>
                <w:rFonts w:eastAsia="Verdana"/>
                <w:sz w:val="22"/>
                <w:szCs w:val="22"/>
              </w:rPr>
            </w:pPr>
          </w:p>
          <w:p w:rsidRPr="00F56E5B" w:rsidR="008567A3" w:rsidP="008567A3" w:rsidRDefault="008567A3" w14:paraId="48B031C2" w14:textId="3B0F0A4B">
            <w:pPr>
              <w:pStyle w:val="ListParagraph"/>
              <w:numPr>
                <w:ilvl w:val="0"/>
                <w:numId w:val="1"/>
              </w:numPr>
              <w:jc w:val="both"/>
              <w:rPr>
                <w:rFonts w:eastAsia="Verdana"/>
                <w:sz w:val="22"/>
                <w:szCs w:val="22"/>
              </w:rPr>
            </w:pPr>
            <w:r w:rsidRPr="6C6EE1B9" w:rsidR="6C6EE1B9">
              <w:rPr>
                <w:rFonts w:eastAsia="Verdana"/>
                <w:sz w:val="22"/>
                <w:szCs w:val="22"/>
              </w:rPr>
              <w:t>Someone who has undertaken appropriate checks (e.g. DBS) and received the appropriate level of training (as a minimum the DSL should have attended a basic recognised Child Protection Awareness Course.  This should be followed by undertaking a course specifically designed to develop their knowledge and skills, to equip them to fulfil the role and responsibilities of the Designated Safeguarding Lead Children).</w:t>
            </w:r>
          </w:p>
          <w:p w:rsidR="6C6EE1B9" w:rsidP="6C6EE1B9" w:rsidRDefault="6C6EE1B9" w14:paraId="6281363C" w14:textId="3DFB96F9">
            <w:pPr>
              <w:pStyle w:val="ListParagraph"/>
              <w:ind w:left="720" w:hanging="0"/>
              <w:jc w:val="both"/>
              <w:rPr>
                <w:rFonts w:eastAsia="Verdana"/>
                <w:sz w:val="24"/>
                <w:szCs w:val="24"/>
              </w:rPr>
            </w:pPr>
          </w:p>
          <w:p w:rsidR="6C6EE1B9" w:rsidP="6C6EE1B9" w:rsidRDefault="6C6EE1B9" w14:paraId="05BA525B" w14:textId="251C5F04">
            <w:pPr>
              <w:pStyle w:val="ListParagraph"/>
              <w:numPr>
                <w:ilvl w:val="0"/>
                <w:numId w:val="1"/>
              </w:numPr>
              <w:jc w:val="both"/>
              <w:rPr>
                <w:rFonts w:eastAsia="Verdana"/>
                <w:sz w:val="24"/>
                <w:szCs w:val="24"/>
              </w:rPr>
            </w:pPr>
            <w:r w:rsidRPr="6C6EE1B9" w:rsidR="6C6EE1B9">
              <w:rPr>
                <w:rFonts w:eastAsia="Verdana"/>
                <w:sz w:val="22"/>
                <w:szCs w:val="22"/>
              </w:rPr>
              <w:t>Someone who has undertaken appropriate checks (e.g. DBS) and received the appropriate level of training (as a minimum the DSL should have attended a basic recognised Safeguarding Adults in Sport and Activity – advanced training for lead officers in England).  This should be followed by undertaking a course specifically designed to develop their knowledge and skills, to equip them to fulfil the role and responsibilities of the Designated Safeguarding Lead Adults).</w:t>
            </w:r>
          </w:p>
          <w:p w:rsidR="6C6EE1B9" w:rsidP="6C6EE1B9" w:rsidRDefault="6C6EE1B9" w14:paraId="09DC005D" w14:textId="7B3B78F0">
            <w:pPr>
              <w:pStyle w:val="ListParagraph"/>
              <w:ind w:left="720" w:hanging="0"/>
              <w:jc w:val="both"/>
              <w:rPr>
                <w:rFonts w:eastAsia="Verdana"/>
                <w:sz w:val="24"/>
                <w:szCs w:val="24"/>
              </w:rPr>
            </w:pPr>
          </w:p>
          <w:p w:rsidR="008567A3" w:rsidP="008567A3" w:rsidRDefault="008567A3" w14:paraId="2A71C54E" w14:textId="77777777">
            <w:pPr>
              <w:rPr>
                <w:rFonts w:eastAsia="Verdana"/>
                <w:i/>
                <w:sz w:val="22"/>
                <w:szCs w:val="22"/>
              </w:rPr>
            </w:pPr>
          </w:p>
          <w:p w:rsidRPr="00EE1618" w:rsidR="008567A3" w:rsidP="008567A3" w:rsidRDefault="008567A3" w14:paraId="69AB1567" w14:textId="77777777">
            <w:pPr>
              <w:rPr>
                <w:rFonts w:eastAsia="Verdana"/>
                <w:b/>
                <w:bCs/>
                <w:iCs/>
                <w:sz w:val="22"/>
                <w:szCs w:val="22"/>
              </w:rPr>
            </w:pPr>
            <w:r w:rsidRPr="00F56E5B">
              <w:rPr>
                <w:rFonts w:eastAsia="Verdana"/>
                <w:i/>
                <w:sz w:val="22"/>
                <w:szCs w:val="22"/>
              </w:rPr>
              <w:t xml:space="preserve"> </w:t>
            </w:r>
            <w:r w:rsidRPr="00EE1618">
              <w:rPr>
                <w:rFonts w:eastAsia="Verdana"/>
                <w:b/>
                <w:bCs/>
                <w:iCs/>
                <w:sz w:val="22"/>
                <w:szCs w:val="22"/>
              </w:rPr>
              <w:t>Key responsibilities of the Designated Safeguarding Lead</w:t>
            </w:r>
          </w:p>
          <w:p w:rsidRPr="00F56E5B" w:rsidR="008567A3" w:rsidP="008567A3" w:rsidRDefault="008567A3" w14:paraId="636108FA" w14:textId="3C5D310B">
            <w:pPr>
              <w:pStyle w:val="ListParagraph"/>
              <w:numPr>
                <w:ilvl w:val="0"/>
                <w:numId w:val="2"/>
              </w:numPr>
              <w:jc w:val="both"/>
              <w:rPr>
                <w:rFonts w:eastAsia="Verdana"/>
                <w:sz w:val="22"/>
                <w:szCs w:val="22"/>
              </w:rPr>
            </w:pPr>
            <w:r w:rsidRPr="6C6EE1B9" w:rsidR="6C6EE1B9">
              <w:rPr>
                <w:rFonts w:eastAsia="Verdana"/>
                <w:sz w:val="22"/>
                <w:szCs w:val="22"/>
              </w:rPr>
              <w:t xml:space="preserve">Be familiar with child protection and adults procedures of the organisation, national and regional policies, and maintain up to date knowledge. </w:t>
            </w:r>
          </w:p>
          <w:p w:rsidRPr="00F56E5B" w:rsidR="008567A3" w:rsidP="008567A3" w:rsidRDefault="008567A3" w14:paraId="1CA242A1" w14:textId="77777777">
            <w:pPr>
              <w:jc w:val="both"/>
              <w:rPr>
                <w:rFonts w:eastAsia="Verdana"/>
                <w:sz w:val="22"/>
                <w:szCs w:val="22"/>
              </w:rPr>
            </w:pPr>
          </w:p>
          <w:p w:rsidRPr="00F56E5B" w:rsidR="008567A3" w:rsidP="008567A3" w:rsidRDefault="008567A3" w14:paraId="17E2CBDE" w14:textId="77777777">
            <w:pPr>
              <w:pStyle w:val="ListParagraph"/>
              <w:numPr>
                <w:ilvl w:val="0"/>
                <w:numId w:val="2"/>
              </w:numPr>
              <w:jc w:val="both"/>
              <w:rPr>
                <w:rFonts w:eastAsia="Verdana"/>
                <w:sz w:val="22"/>
                <w:szCs w:val="22"/>
              </w:rPr>
            </w:pPr>
            <w:r w:rsidRPr="00F56E5B">
              <w:rPr>
                <w:rFonts w:eastAsia="Verdana"/>
                <w:sz w:val="22"/>
                <w:szCs w:val="22"/>
              </w:rPr>
              <w:t>Ensure there are effective internal procedures to handle concerns.</w:t>
            </w:r>
          </w:p>
          <w:p w:rsidRPr="00F56E5B" w:rsidR="008567A3" w:rsidP="008567A3" w:rsidRDefault="008567A3" w14:paraId="72B3D205" w14:textId="77777777">
            <w:pPr>
              <w:jc w:val="both"/>
              <w:rPr>
                <w:rFonts w:eastAsia="Verdana"/>
                <w:sz w:val="22"/>
                <w:szCs w:val="22"/>
              </w:rPr>
            </w:pPr>
          </w:p>
          <w:p w:rsidRPr="00F56E5B" w:rsidR="008567A3" w:rsidP="008567A3" w:rsidRDefault="008567A3" w14:paraId="778D09DE" w14:textId="77777777">
            <w:pPr>
              <w:pStyle w:val="ListParagraph"/>
              <w:numPr>
                <w:ilvl w:val="0"/>
                <w:numId w:val="2"/>
              </w:numPr>
              <w:jc w:val="both"/>
              <w:rPr>
                <w:rFonts w:eastAsia="Verdana"/>
                <w:sz w:val="22"/>
                <w:szCs w:val="22"/>
              </w:rPr>
            </w:pPr>
            <w:r w:rsidRPr="00F56E5B">
              <w:rPr>
                <w:rFonts w:eastAsia="Verdana"/>
                <w:sz w:val="22"/>
                <w:szCs w:val="22"/>
              </w:rPr>
              <w:t>Ensure that systems are in place for effective record keeping.</w:t>
            </w:r>
          </w:p>
          <w:p w:rsidRPr="00F56E5B" w:rsidR="008567A3" w:rsidP="008567A3" w:rsidRDefault="008567A3" w14:paraId="78C073D2" w14:textId="77777777">
            <w:pPr>
              <w:jc w:val="both"/>
              <w:rPr>
                <w:rFonts w:eastAsia="Verdana"/>
                <w:sz w:val="22"/>
                <w:szCs w:val="22"/>
              </w:rPr>
            </w:pPr>
          </w:p>
          <w:p w:rsidRPr="00F56E5B" w:rsidR="008567A3" w:rsidP="008567A3" w:rsidRDefault="008567A3" w14:paraId="0A2827F8" w14:textId="77777777">
            <w:pPr>
              <w:pStyle w:val="ListParagraph"/>
              <w:numPr>
                <w:ilvl w:val="0"/>
                <w:numId w:val="2"/>
              </w:numPr>
              <w:jc w:val="both"/>
              <w:rPr>
                <w:rFonts w:eastAsia="Verdana"/>
                <w:sz w:val="22"/>
                <w:szCs w:val="22"/>
              </w:rPr>
            </w:pPr>
            <w:r w:rsidRPr="00F56E5B">
              <w:rPr>
                <w:rFonts w:eastAsia="Verdana"/>
                <w:sz w:val="22"/>
                <w:szCs w:val="22"/>
              </w:rPr>
              <w:t>Be the link person with Social Services or the police and consult or refer to/with Social Services or Police on concerns that have been raised.</w:t>
            </w:r>
          </w:p>
          <w:p w:rsidRPr="00F56E5B" w:rsidR="008567A3" w:rsidP="008567A3" w:rsidRDefault="008567A3" w14:paraId="4191FF21" w14:textId="77777777">
            <w:pPr>
              <w:jc w:val="both"/>
              <w:rPr>
                <w:rFonts w:eastAsia="Verdana"/>
                <w:sz w:val="22"/>
                <w:szCs w:val="22"/>
              </w:rPr>
            </w:pPr>
          </w:p>
          <w:p w:rsidRPr="00F56E5B" w:rsidR="008567A3" w:rsidP="008567A3" w:rsidRDefault="008567A3" w14:paraId="18F56B02" w14:textId="77777777">
            <w:pPr>
              <w:pStyle w:val="ListParagraph"/>
              <w:numPr>
                <w:ilvl w:val="0"/>
                <w:numId w:val="2"/>
              </w:numPr>
              <w:jc w:val="both"/>
              <w:rPr>
                <w:rFonts w:eastAsia="Verdana"/>
                <w:sz w:val="22"/>
                <w:szCs w:val="22"/>
              </w:rPr>
            </w:pPr>
            <w:r w:rsidRPr="00F56E5B">
              <w:rPr>
                <w:rFonts w:eastAsia="Verdana"/>
                <w:sz w:val="22"/>
                <w:szCs w:val="22"/>
              </w:rPr>
              <w:t>Undertake such training as is necessary in pursuance of his/her role.</w:t>
            </w:r>
          </w:p>
          <w:p w:rsidRPr="00F56E5B" w:rsidR="008567A3" w:rsidP="008567A3" w:rsidRDefault="008567A3" w14:paraId="1A16F349" w14:textId="77777777">
            <w:pPr>
              <w:jc w:val="both"/>
              <w:rPr>
                <w:rFonts w:eastAsia="Verdana"/>
                <w:sz w:val="22"/>
                <w:szCs w:val="22"/>
              </w:rPr>
            </w:pPr>
          </w:p>
          <w:p w:rsidRPr="00F56E5B" w:rsidR="008567A3" w:rsidP="008567A3" w:rsidRDefault="008567A3" w14:paraId="7D7FFCE6" w14:textId="77777777">
            <w:pPr>
              <w:pStyle w:val="ListParagraph"/>
              <w:numPr>
                <w:ilvl w:val="0"/>
                <w:numId w:val="2"/>
              </w:numPr>
              <w:jc w:val="both"/>
              <w:rPr>
                <w:rFonts w:eastAsia="Verdana"/>
                <w:sz w:val="22"/>
                <w:szCs w:val="22"/>
              </w:rPr>
            </w:pPr>
            <w:r w:rsidRPr="00F56E5B">
              <w:rPr>
                <w:rFonts w:eastAsia="Verdana"/>
                <w:sz w:val="22"/>
                <w:szCs w:val="22"/>
              </w:rPr>
              <w:t xml:space="preserve">Ensure information is reported (directly or via statutory agencies) to the relevant </w:t>
            </w:r>
            <w:r>
              <w:rPr>
                <w:rFonts w:eastAsia="Verdana"/>
                <w:sz w:val="22"/>
                <w:szCs w:val="22"/>
              </w:rPr>
              <w:t>National Governing Body (</w:t>
            </w:r>
            <w:r w:rsidRPr="00F56E5B">
              <w:rPr>
                <w:rFonts w:eastAsia="Verdana"/>
                <w:sz w:val="22"/>
                <w:szCs w:val="22"/>
              </w:rPr>
              <w:t>NGB</w:t>
            </w:r>
            <w:r>
              <w:rPr>
                <w:rFonts w:eastAsia="Verdana"/>
                <w:sz w:val="22"/>
                <w:szCs w:val="22"/>
              </w:rPr>
              <w:t>)</w:t>
            </w:r>
            <w:r w:rsidRPr="00F56E5B">
              <w:rPr>
                <w:rFonts w:eastAsia="Verdana"/>
                <w:sz w:val="22"/>
                <w:szCs w:val="22"/>
              </w:rPr>
              <w:t xml:space="preserve"> or other partner (e.g. L</w:t>
            </w:r>
            <w:r>
              <w:rPr>
                <w:rFonts w:eastAsia="Verdana"/>
                <w:sz w:val="22"/>
                <w:szCs w:val="22"/>
              </w:rPr>
              <w:t>ocal Authority</w:t>
            </w:r>
            <w:r w:rsidRPr="00F56E5B">
              <w:rPr>
                <w:rFonts w:eastAsia="Verdana"/>
                <w:sz w:val="22"/>
                <w:szCs w:val="22"/>
              </w:rPr>
              <w:t>) if the allegations concern a volunteer/coach who operates in a specific sport or within another organisation.</w:t>
            </w:r>
          </w:p>
          <w:p w:rsidRPr="00F56E5B" w:rsidR="008567A3" w:rsidP="008567A3" w:rsidRDefault="008567A3" w14:paraId="32160B67" w14:textId="77777777">
            <w:pPr>
              <w:jc w:val="both"/>
              <w:rPr>
                <w:rFonts w:eastAsia="Verdana"/>
                <w:sz w:val="22"/>
                <w:szCs w:val="22"/>
              </w:rPr>
            </w:pPr>
          </w:p>
          <w:p w:rsidRPr="00F56E5B" w:rsidR="008567A3" w:rsidP="008567A3" w:rsidRDefault="008567A3" w14:paraId="12C02E09" w14:textId="77777777">
            <w:pPr>
              <w:pStyle w:val="ListParagraph"/>
              <w:numPr>
                <w:ilvl w:val="0"/>
                <w:numId w:val="2"/>
              </w:numPr>
              <w:jc w:val="both"/>
              <w:rPr>
                <w:rFonts w:eastAsia="Verdana"/>
                <w:sz w:val="22"/>
                <w:szCs w:val="22"/>
              </w:rPr>
            </w:pPr>
            <w:r w:rsidRPr="00F56E5B">
              <w:rPr>
                <w:rFonts w:eastAsia="Verdana"/>
                <w:sz w:val="22"/>
                <w:szCs w:val="22"/>
              </w:rPr>
              <w:t xml:space="preserve">Receive, </w:t>
            </w:r>
            <w:proofErr w:type="gramStart"/>
            <w:r w:rsidRPr="00F56E5B">
              <w:rPr>
                <w:rFonts w:eastAsia="Verdana"/>
                <w:sz w:val="22"/>
                <w:szCs w:val="22"/>
              </w:rPr>
              <w:t>advise</w:t>
            </w:r>
            <w:proofErr w:type="gramEnd"/>
            <w:r w:rsidRPr="00F56E5B">
              <w:rPr>
                <w:rFonts w:eastAsia="Verdana"/>
                <w:sz w:val="22"/>
                <w:szCs w:val="22"/>
              </w:rPr>
              <w:t xml:space="preserve"> and act on all reports of incidents, allegations or suspicions of child abuse or poor practice.</w:t>
            </w:r>
          </w:p>
          <w:p w:rsidRPr="00F56E5B" w:rsidR="008567A3" w:rsidP="008567A3" w:rsidRDefault="008567A3" w14:paraId="71B2CAE9" w14:textId="77777777">
            <w:pPr>
              <w:jc w:val="both"/>
              <w:rPr>
                <w:rFonts w:eastAsia="Verdana"/>
                <w:sz w:val="22"/>
                <w:szCs w:val="22"/>
              </w:rPr>
            </w:pPr>
          </w:p>
          <w:p w:rsidRPr="00F56E5B" w:rsidR="008567A3" w:rsidP="008567A3" w:rsidRDefault="008567A3" w14:paraId="731F3CF6" w14:textId="77777777">
            <w:pPr>
              <w:pStyle w:val="ListParagraph"/>
              <w:numPr>
                <w:ilvl w:val="0"/>
                <w:numId w:val="2"/>
              </w:numPr>
              <w:jc w:val="both"/>
              <w:rPr>
                <w:rFonts w:eastAsia="Verdana"/>
                <w:sz w:val="22"/>
                <w:szCs w:val="22"/>
              </w:rPr>
            </w:pPr>
            <w:r w:rsidRPr="00F56E5B">
              <w:rPr>
                <w:rFonts w:eastAsia="Verdana"/>
                <w:sz w:val="22"/>
                <w:szCs w:val="22"/>
              </w:rPr>
              <w:t>Offer an advice service to assist potential referrers to clarify their concerns.</w:t>
            </w:r>
          </w:p>
          <w:p w:rsidRPr="00F56E5B" w:rsidR="008567A3" w:rsidP="008567A3" w:rsidRDefault="008567A3" w14:paraId="10728E00" w14:textId="77777777">
            <w:pPr>
              <w:jc w:val="both"/>
              <w:rPr>
                <w:rFonts w:eastAsia="Verdana"/>
                <w:sz w:val="22"/>
                <w:szCs w:val="22"/>
              </w:rPr>
            </w:pPr>
          </w:p>
          <w:p w:rsidRPr="00F56E5B" w:rsidR="008567A3" w:rsidP="008567A3" w:rsidRDefault="008567A3" w14:paraId="15BE4761" w14:textId="77777777">
            <w:pPr>
              <w:pStyle w:val="ListParagraph"/>
              <w:numPr>
                <w:ilvl w:val="0"/>
                <w:numId w:val="2"/>
              </w:numPr>
              <w:jc w:val="both"/>
              <w:rPr>
                <w:rFonts w:eastAsia="Verdana"/>
                <w:sz w:val="22"/>
                <w:szCs w:val="22"/>
              </w:rPr>
            </w:pPr>
            <w:r w:rsidRPr="00F56E5B">
              <w:rPr>
                <w:rFonts w:eastAsia="Verdana"/>
                <w:sz w:val="22"/>
                <w:szCs w:val="22"/>
              </w:rPr>
              <w:t>Update appropriate third parties (including NGB’s, L</w:t>
            </w:r>
            <w:r>
              <w:rPr>
                <w:rFonts w:eastAsia="Verdana"/>
                <w:sz w:val="22"/>
                <w:szCs w:val="22"/>
              </w:rPr>
              <w:t>ocal Authoritie</w:t>
            </w:r>
            <w:r w:rsidRPr="00F56E5B">
              <w:rPr>
                <w:rFonts w:eastAsia="Verdana"/>
                <w:sz w:val="22"/>
                <w:szCs w:val="22"/>
              </w:rPr>
              <w:t>s and schools) on results of investigations in the interest of young people.</w:t>
            </w:r>
          </w:p>
          <w:p w:rsidRPr="00F56E5B" w:rsidR="008567A3" w:rsidP="008567A3" w:rsidRDefault="008567A3" w14:paraId="3FC5229D" w14:textId="77777777">
            <w:pPr>
              <w:jc w:val="both"/>
              <w:rPr>
                <w:rFonts w:eastAsia="Verdana"/>
                <w:sz w:val="22"/>
                <w:szCs w:val="22"/>
              </w:rPr>
            </w:pPr>
          </w:p>
          <w:p w:rsidRPr="00F56E5B" w:rsidR="008567A3" w:rsidP="008567A3" w:rsidRDefault="008567A3" w14:paraId="08CDBABA" w14:textId="77777777">
            <w:pPr>
              <w:pStyle w:val="ListParagraph"/>
              <w:numPr>
                <w:ilvl w:val="0"/>
                <w:numId w:val="2"/>
              </w:numPr>
              <w:jc w:val="both"/>
              <w:rPr>
                <w:rFonts w:eastAsia="Verdana"/>
                <w:sz w:val="22"/>
                <w:szCs w:val="22"/>
              </w:rPr>
            </w:pPr>
            <w:r w:rsidRPr="00F56E5B">
              <w:rPr>
                <w:rFonts w:eastAsia="Verdana"/>
                <w:sz w:val="22"/>
                <w:szCs w:val="22"/>
              </w:rPr>
              <w:t>Establish and maintain a record system in line with the requirements of the Data Protection Act.</w:t>
            </w:r>
          </w:p>
          <w:p w:rsidRPr="00F56E5B" w:rsidR="008567A3" w:rsidP="008567A3" w:rsidRDefault="008567A3" w14:paraId="5781354E" w14:textId="77777777">
            <w:pPr>
              <w:jc w:val="both"/>
              <w:rPr>
                <w:rFonts w:eastAsia="Verdana"/>
                <w:sz w:val="22"/>
                <w:szCs w:val="22"/>
              </w:rPr>
            </w:pPr>
          </w:p>
          <w:p w:rsidRPr="00F56E5B" w:rsidR="008567A3" w:rsidP="008567A3" w:rsidRDefault="008567A3" w14:paraId="12E6D2F8" w14:textId="77777777">
            <w:pPr>
              <w:pStyle w:val="ListParagraph"/>
              <w:numPr>
                <w:ilvl w:val="0"/>
                <w:numId w:val="2"/>
              </w:numPr>
              <w:jc w:val="both"/>
              <w:rPr>
                <w:rFonts w:eastAsia="Verdana"/>
                <w:sz w:val="22"/>
                <w:szCs w:val="22"/>
              </w:rPr>
            </w:pPr>
            <w:r w:rsidRPr="71091E77" w:rsidR="71091E77">
              <w:rPr>
                <w:rFonts w:eastAsia="Verdana"/>
                <w:sz w:val="22"/>
                <w:szCs w:val="22"/>
              </w:rPr>
              <w:t>Act as the main contact point within the organisation when handling any enquiries from members of the public (including parents) and the media about any incident, allegation or report of child abuse or poor practice.</w:t>
            </w:r>
          </w:p>
          <w:p w:rsidRPr="00F56E5B" w:rsidR="008567A3" w:rsidP="71091E77" w:rsidRDefault="008567A3" w14:paraId="00CE1E6E" w14:textId="3A48AD89">
            <w:pPr>
              <w:spacing w:before="0" w:beforeAutospacing="off" w:after="160" w:afterAutospacing="off" w:line="276" w:lineRule="auto"/>
              <w:jc w:val="both"/>
              <w:rPr>
                <w:rFonts w:ascii="Calibri" w:hAnsi="Calibri" w:eastAsia="Calibri" w:cs="Calibri"/>
                <w:noProof w:val="0"/>
                <w:sz w:val="22"/>
                <w:szCs w:val="22"/>
                <w:u w:val="single"/>
                <w:lang w:val="en-GB"/>
              </w:rPr>
            </w:pPr>
          </w:p>
          <w:p w:rsidRPr="00F56E5B" w:rsidR="008567A3" w:rsidP="71091E77" w:rsidRDefault="008567A3" w14:paraId="1BE16A43" w14:textId="1D9D1324">
            <w:pPr>
              <w:spacing w:before="0" w:beforeAutospacing="off" w:after="160" w:afterAutospacing="off" w:line="276" w:lineRule="auto"/>
              <w:jc w:val="both"/>
            </w:pPr>
            <w:r w:rsidRPr="71091E77" w:rsidR="71091E77">
              <w:rPr>
                <w:rFonts w:ascii="Calibri" w:hAnsi="Calibri" w:eastAsia="Calibri" w:cs="Calibri"/>
                <w:noProof w:val="0"/>
                <w:sz w:val="22"/>
                <w:szCs w:val="22"/>
                <w:u w:val="single"/>
                <w:lang w:val="en-GB"/>
              </w:rPr>
              <w:t>Contact details</w:t>
            </w:r>
          </w:p>
          <w:p w:rsidRPr="00F56E5B" w:rsidR="008567A3" w:rsidP="71091E77" w:rsidRDefault="008567A3" w14:paraId="11D9A098" w14:textId="2FFB57BB">
            <w:pPr>
              <w:spacing w:before="0" w:beforeAutospacing="off" w:after="160" w:afterAutospacing="off" w:line="276" w:lineRule="auto"/>
              <w:jc w:val="both"/>
            </w:pPr>
            <w:r w:rsidRPr="71091E77" w:rsidR="71091E77">
              <w:rPr>
                <w:rFonts w:ascii="Calibri" w:hAnsi="Calibri" w:eastAsia="Calibri" w:cs="Calibri"/>
                <w:noProof w:val="0"/>
                <w:sz w:val="22"/>
                <w:szCs w:val="22"/>
                <w:lang w:val="en-GB"/>
              </w:rPr>
              <w:t>Appendix holder</w:t>
            </w:r>
          </w:p>
          <w:p w:rsidRPr="00F56E5B" w:rsidR="008567A3" w:rsidP="71091E77" w:rsidRDefault="008567A3" w14:paraId="4F0E1B6D" w14:textId="412C69DD">
            <w:pPr>
              <w:spacing w:before="0" w:beforeAutospacing="off" w:after="160" w:afterAutospacing="off" w:line="276" w:lineRule="auto"/>
              <w:jc w:val="both"/>
              <w:rPr>
                <w:rFonts w:ascii="Calibri" w:hAnsi="Calibri" w:eastAsia="Calibri" w:cs="Calibri"/>
                <w:noProof w:val="0"/>
                <w:sz w:val="22"/>
                <w:szCs w:val="22"/>
                <w:lang w:val="en-GB"/>
              </w:rPr>
            </w:pPr>
            <w:r w:rsidRPr="71091E77" w:rsidR="71091E77">
              <w:rPr>
                <w:rFonts w:ascii="Calibri" w:hAnsi="Calibri" w:eastAsia="Calibri" w:cs="Calibri"/>
                <w:noProof w:val="0"/>
                <w:sz w:val="22"/>
                <w:szCs w:val="22"/>
                <w:lang w:val="en-GB"/>
              </w:rPr>
              <w:t>Name: Kirsty Dunleavy-Harris</w:t>
            </w:r>
          </w:p>
          <w:p w:rsidRPr="00F56E5B" w:rsidR="008567A3" w:rsidP="71091E77" w:rsidRDefault="008567A3" w14:paraId="4A9932A9" w14:textId="6DE8F361">
            <w:pPr>
              <w:pStyle w:val="Normal"/>
              <w:suppressLineNumbers w:val="0"/>
              <w:bidi w:val="0"/>
              <w:spacing w:before="0" w:beforeAutospacing="off" w:after="160" w:afterAutospacing="off" w:line="276" w:lineRule="auto"/>
              <w:ind w:left="0" w:right="0"/>
              <w:jc w:val="both"/>
            </w:pPr>
            <w:r w:rsidRPr="71091E77" w:rsidR="71091E77">
              <w:rPr>
                <w:rFonts w:ascii="Calibri" w:hAnsi="Calibri" w:eastAsia="Calibri" w:cs="Calibri"/>
                <w:noProof w:val="0"/>
                <w:sz w:val="22"/>
                <w:szCs w:val="22"/>
                <w:lang w:val="en-GB"/>
              </w:rPr>
              <w:t>Deputy CEO</w:t>
            </w:r>
          </w:p>
          <w:p w:rsidRPr="00F56E5B" w:rsidR="008567A3" w:rsidP="71091E77" w:rsidRDefault="008567A3" w14:paraId="4387F929" w14:textId="2D76DC24">
            <w:pPr>
              <w:spacing w:before="0" w:beforeAutospacing="off" w:after="160" w:afterAutospacing="off" w:line="276" w:lineRule="auto"/>
              <w:jc w:val="both"/>
            </w:pPr>
            <w:r w:rsidRPr="71091E77" w:rsidR="71091E77">
              <w:rPr>
                <w:rFonts w:ascii="Calibri" w:hAnsi="Calibri" w:eastAsia="Calibri" w:cs="Calibri"/>
                <w:noProof w:val="0"/>
                <w:sz w:val="22"/>
                <w:szCs w:val="22"/>
                <w:lang w:val="en-GB"/>
              </w:rPr>
              <w:t xml:space="preserve">Phone/email: 01452 393618 </w:t>
            </w:r>
            <w:r w:rsidRPr="71091E77" w:rsidR="71091E77">
              <w:rPr>
                <w:rFonts w:ascii="Calibri" w:hAnsi="Calibri" w:eastAsia="Calibri" w:cs="Calibri"/>
                <w:noProof w:val="0"/>
                <w:sz w:val="22"/>
                <w:szCs w:val="22"/>
                <w:lang w:val="en-GB"/>
              </w:rPr>
              <w:t>kirstydunleavy@activegloucestershire.org</w:t>
            </w:r>
          </w:p>
          <w:p w:rsidRPr="00F56E5B" w:rsidR="008567A3" w:rsidP="71091E77" w:rsidRDefault="008567A3" w14:paraId="12F6A9A1" w14:textId="0F1C238A">
            <w:pPr>
              <w:spacing w:before="0" w:beforeAutospacing="off" w:after="160" w:afterAutospacing="off" w:line="276" w:lineRule="auto"/>
              <w:jc w:val="both"/>
            </w:pPr>
            <w:r w:rsidRPr="71091E77" w:rsidR="71091E77">
              <w:rPr>
                <w:rFonts w:ascii="Calibri" w:hAnsi="Calibri" w:eastAsia="Calibri" w:cs="Calibri"/>
                <w:noProof w:val="0"/>
                <w:sz w:val="22"/>
                <w:szCs w:val="22"/>
                <w:lang w:val="en-GB"/>
              </w:rPr>
              <w:t xml:space="preserve"> </w:t>
            </w:r>
          </w:p>
          <w:p w:rsidRPr="00F56E5B" w:rsidR="008567A3" w:rsidP="71091E77" w:rsidRDefault="008567A3" w14:paraId="7A313381" w14:textId="638A744D">
            <w:pPr>
              <w:spacing w:before="0" w:beforeAutospacing="off" w:after="160" w:afterAutospacing="off" w:line="276" w:lineRule="auto"/>
              <w:jc w:val="both"/>
            </w:pPr>
            <w:r w:rsidRPr="71091E77" w:rsidR="71091E77">
              <w:rPr>
                <w:rFonts w:ascii="Calibri" w:hAnsi="Calibri" w:eastAsia="Calibri" w:cs="Calibri"/>
                <w:noProof w:val="0"/>
                <w:sz w:val="22"/>
                <w:szCs w:val="22"/>
                <w:lang w:val="en-GB"/>
              </w:rPr>
              <w:t>NSPCC helpline 0808 800 5000 We are committed to reviewing our policy and good practice annually.</w:t>
            </w:r>
          </w:p>
          <w:p w:rsidRPr="00F56E5B" w:rsidR="008567A3" w:rsidP="71091E77" w:rsidRDefault="008567A3" w14:paraId="2BB1D9FB" w14:textId="1C2A2F92">
            <w:pPr>
              <w:spacing w:before="0" w:beforeAutospacing="off" w:after="160" w:afterAutospacing="off" w:line="276" w:lineRule="auto"/>
              <w:jc w:val="both"/>
            </w:pPr>
            <w:r w:rsidRPr="71091E77" w:rsidR="71091E77">
              <w:rPr>
                <w:rFonts w:ascii="Calibri" w:hAnsi="Calibri" w:eastAsia="Calibri" w:cs="Calibri"/>
                <w:noProof w:val="0"/>
                <w:sz w:val="22"/>
                <w:szCs w:val="22"/>
                <w:lang w:val="en-GB"/>
              </w:rPr>
              <w:t xml:space="preserve"> </w:t>
            </w:r>
          </w:p>
          <w:p w:rsidRPr="00F56E5B" w:rsidR="008567A3" w:rsidP="71091E77" w:rsidRDefault="008567A3" w14:paraId="1FAA8F97" w14:textId="61F56CF1">
            <w:pPr>
              <w:spacing w:before="0" w:beforeAutospacing="off" w:after="160" w:afterAutospacing="off" w:line="276" w:lineRule="auto"/>
              <w:jc w:val="both"/>
            </w:pPr>
            <w:r w:rsidRPr="71091E77" w:rsidR="71091E77">
              <w:rPr>
                <w:rFonts w:ascii="Calibri" w:hAnsi="Calibri" w:eastAsia="Calibri" w:cs="Calibri"/>
                <w:noProof w:val="0"/>
                <w:sz w:val="22"/>
                <w:szCs w:val="22"/>
                <w:lang w:val="en-GB"/>
              </w:rPr>
              <w:t>Key compliance dates:</w:t>
            </w:r>
          </w:p>
          <w:p w:rsidRPr="00F56E5B" w:rsidR="008567A3" w:rsidP="71091E77" w:rsidRDefault="008567A3" w14:paraId="7D6A503B" w14:textId="132FF621">
            <w:pPr>
              <w:spacing w:before="0" w:beforeAutospacing="off" w:after="160" w:afterAutospacing="off" w:line="276" w:lineRule="auto"/>
              <w:jc w:val="both"/>
            </w:pPr>
            <w:r w:rsidRPr="71091E77" w:rsidR="71091E77">
              <w:rPr>
                <w:rFonts w:ascii="Calibri" w:hAnsi="Calibri" w:eastAsia="Calibri" w:cs="Calibri"/>
                <w:noProof w:val="0"/>
                <w:sz w:val="22"/>
                <w:szCs w:val="22"/>
                <w:lang w:val="en-GB"/>
              </w:rPr>
              <w:t xml:space="preserve"> </w:t>
            </w:r>
          </w:p>
          <w:tbl>
            <w:tblPr>
              <w:tblStyle w:val="TableGrid"/>
              <w:tblW w:w="0" w:type="auto"/>
              <w:tblLayout w:type="fixed"/>
              <w:tblLook w:val="04A0" w:firstRow="1" w:lastRow="0" w:firstColumn="1" w:lastColumn="0" w:noHBand="0" w:noVBand="1"/>
            </w:tblPr>
            <w:tblGrid>
              <w:gridCol w:w="6869"/>
              <w:gridCol w:w="6869"/>
            </w:tblGrid>
            <w:tr w:rsidR="71091E77" w:rsidTr="71091E77" w14:paraId="2A0BEEBC">
              <w:trPr>
                <w:trHeight w:val="300"/>
              </w:trPr>
              <w:tc>
                <w:tcPr>
                  <w:tcW w:w="6869" w:type="dxa"/>
                  <w:tcBorders>
                    <w:top w:val="single" w:sz="8"/>
                    <w:left w:val="single" w:sz="8"/>
                    <w:bottom w:val="single" w:sz="8"/>
                    <w:right w:val="single" w:sz="8"/>
                  </w:tcBorders>
                  <w:tcMar>
                    <w:left w:w="108" w:type="dxa"/>
                    <w:right w:w="108" w:type="dxa"/>
                  </w:tcMar>
                  <w:vAlign w:val="top"/>
                </w:tcPr>
                <w:p w:rsidR="71091E77" w:rsidP="71091E77" w:rsidRDefault="71091E77" w14:paraId="48E41078" w14:textId="65CD4C59">
                  <w:pPr>
                    <w:spacing w:before="0" w:beforeAutospacing="off" w:after="0" w:afterAutospacing="off" w:line="276" w:lineRule="auto"/>
                    <w:jc w:val="both"/>
                  </w:pPr>
                  <w:r w:rsidRPr="71091E77" w:rsidR="71091E77">
                    <w:rPr>
                      <w:rFonts w:ascii="Calibri" w:hAnsi="Calibri" w:eastAsia="Calibri" w:cs="Calibri"/>
                      <w:sz w:val="22"/>
                      <w:szCs w:val="22"/>
                    </w:rPr>
                    <w:t>Last Review</w:t>
                  </w:r>
                </w:p>
              </w:tc>
              <w:tc>
                <w:tcPr>
                  <w:tcW w:w="6869" w:type="dxa"/>
                  <w:tcBorders>
                    <w:top w:val="single" w:sz="8"/>
                    <w:left w:val="single" w:sz="8"/>
                    <w:bottom w:val="single" w:sz="8"/>
                    <w:right w:val="single" w:sz="8"/>
                  </w:tcBorders>
                  <w:tcMar>
                    <w:left w:w="108" w:type="dxa"/>
                    <w:right w:w="108" w:type="dxa"/>
                  </w:tcMar>
                  <w:vAlign w:val="top"/>
                </w:tcPr>
                <w:p w:rsidR="71091E77" w:rsidP="71091E77" w:rsidRDefault="71091E77" w14:paraId="12713B9C" w14:textId="275B62F3">
                  <w:pPr>
                    <w:spacing w:before="0" w:beforeAutospacing="off" w:after="0" w:afterAutospacing="off" w:line="276" w:lineRule="auto"/>
                    <w:jc w:val="both"/>
                  </w:pPr>
                  <w:r w:rsidRPr="71091E77" w:rsidR="71091E77">
                    <w:rPr>
                      <w:rFonts w:ascii="Calibri" w:hAnsi="Calibri" w:eastAsia="Calibri" w:cs="Calibri"/>
                      <w:sz w:val="22"/>
                      <w:szCs w:val="22"/>
                    </w:rPr>
                    <w:t>November 2023</w:t>
                  </w:r>
                </w:p>
              </w:tc>
            </w:tr>
            <w:tr w:rsidR="71091E77" w:rsidTr="71091E77" w14:paraId="225F0437">
              <w:trPr>
                <w:trHeight w:val="300"/>
              </w:trPr>
              <w:tc>
                <w:tcPr>
                  <w:tcW w:w="6869" w:type="dxa"/>
                  <w:tcBorders>
                    <w:top w:val="single" w:sz="8"/>
                    <w:left w:val="single" w:sz="8"/>
                    <w:bottom w:val="single" w:sz="8"/>
                    <w:right w:val="single" w:sz="8"/>
                  </w:tcBorders>
                  <w:tcMar>
                    <w:left w:w="108" w:type="dxa"/>
                    <w:right w:w="108" w:type="dxa"/>
                  </w:tcMar>
                  <w:vAlign w:val="top"/>
                </w:tcPr>
                <w:p w:rsidR="71091E77" w:rsidP="71091E77" w:rsidRDefault="71091E77" w14:paraId="3477D59C" w14:textId="63C552CE">
                  <w:pPr>
                    <w:spacing w:before="0" w:beforeAutospacing="off" w:after="0" w:afterAutospacing="off" w:line="276" w:lineRule="auto"/>
                    <w:jc w:val="both"/>
                  </w:pPr>
                  <w:r w:rsidRPr="71091E77" w:rsidR="71091E77">
                    <w:rPr>
                      <w:rFonts w:ascii="Calibri" w:hAnsi="Calibri" w:eastAsia="Calibri" w:cs="Calibri"/>
                      <w:sz w:val="22"/>
                      <w:szCs w:val="22"/>
                    </w:rPr>
                    <w:t>Next Review</w:t>
                  </w:r>
                </w:p>
              </w:tc>
              <w:tc>
                <w:tcPr>
                  <w:tcW w:w="6869" w:type="dxa"/>
                  <w:tcBorders>
                    <w:top w:val="single" w:sz="8"/>
                    <w:left w:val="single" w:sz="8"/>
                    <w:bottom w:val="single" w:sz="8"/>
                    <w:right w:val="single" w:sz="8"/>
                  </w:tcBorders>
                  <w:tcMar>
                    <w:left w:w="108" w:type="dxa"/>
                    <w:right w:w="108" w:type="dxa"/>
                  </w:tcMar>
                  <w:vAlign w:val="top"/>
                </w:tcPr>
                <w:p w:rsidR="71091E77" w:rsidP="71091E77" w:rsidRDefault="71091E77" w14:paraId="65330B5D" w14:textId="31B52322">
                  <w:pPr>
                    <w:spacing w:before="0" w:beforeAutospacing="off" w:after="0" w:afterAutospacing="off" w:line="276" w:lineRule="auto"/>
                    <w:jc w:val="both"/>
                  </w:pPr>
                  <w:r w:rsidRPr="71091E77" w:rsidR="71091E77">
                    <w:rPr>
                      <w:rFonts w:ascii="Calibri" w:hAnsi="Calibri" w:eastAsia="Calibri" w:cs="Calibri"/>
                      <w:sz w:val="22"/>
                      <w:szCs w:val="22"/>
                    </w:rPr>
                    <w:t>November 2024</w:t>
                  </w:r>
                </w:p>
              </w:tc>
            </w:tr>
          </w:tbl>
          <w:p w:rsidRPr="00F56E5B" w:rsidR="008567A3" w:rsidP="71091E77" w:rsidRDefault="008567A3" w14:paraId="3C384192" w14:textId="0D6149E8">
            <w:pPr>
              <w:pStyle w:val="Normal"/>
              <w:jc w:val="both"/>
              <w:rPr>
                <w:rFonts w:eastAsia="Verdana"/>
                <w:sz w:val="22"/>
                <w:szCs w:val="22"/>
              </w:rPr>
            </w:pPr>
          </w:p>
          <w:p w:rsidR="008567A3" w:rsidP="006F756F" w:rsidRDefault="008567A3" w14:paraId="70509BC3" w14:textId="77777777">
            <w:pPr>
              <w:rPr>
                <w:rFonts w:eastAsia="Verdana"/>
                <w:i/>
                <w:sz w:val="22"/>
                <w:szCs w:val="22"/>
              </w:rPr>
            </w:pPr>
          </w:p>
        </w:tc>
      </w:tr>
    </w:tbl>
    <w:p w:rsidR="00EE1618" w:rsidP="006F756F" w:rsidRDefault="00EE1618" w14:paraId="1475D12C" w14:textId="77777777">
      <w:pPr>
        <w:rPr>
          <w:rFonts w:eastAsia="Verdana"/>
          <w:i/>
          <w:sz w:val="22"/>
          <w:szCs w:val="22"/>
        </w:rPr>
      </w:pPr>
    </w:p>
    <w:p w:rsidR="002B42B4" w:rsidRDefault="002B42B4" w14:paraId="25B3830D" w14:textId="77777777"/>
    <w:sectPr w:rsidR="002B42B4" w:rsidSect="00EE1618">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618" w:rsidP="00EE1618" w:rsidRDefault="00EE1618" w14:paraId="45F91469" w14:textId="77777777">
      <w:pPr>
        <w:spacing w:after="0" w:line="240" w:lineRule="auto"/>
      </w:pPr>
      <w:r>
        <w:separator/>
      </w:r>
    </w:p>
  </w:endnote>
  <w:endnote w:type="continuationSeparator" w:id="0">
    <w:p w:rsidR="00EE1618" w:rsidP="00EE1618" w:rsidRDefault="00EE1618" w14:paraId="680FCD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E1618" w:rsidRDefault="00EE1618" w14:paraId="289FC1FC" w14:textId="5CA72D9F">
    <w:pPr>
      <w:pStyle w:val="Footer"/>
    </w:pPr>
    <w:r>
      <w:rPr>
        <w:noProof/>
      </w:rPr>
      <w:drawing>
        <wp:anchor distT="0" distB="0" distL="114300" distR="114300" simplePos="0" relativeHeight="251659264" behindDoc="0" locked="0" layoutInCell="1" allowOverlap="1" wp14:anchorId="148E1404" wp14:editId="6649B07E">
          <wp:simplePos x="0" y="0"/>
          <wp:positionH relativeFrom="column">
            <wp:posOffset>-819150</wp:posOffset>
          </wp:positionH>
          <wp:positionV relativeFrom="paragraph">
            <wp:posOffset>3810</wp:posOffset>
          </wp:positionV>
          <wp:extent cx="1565910" cy="400050"/>
          <wp:effectExtent l="0" t="0" r="0" b="0"/>
          <wp:wrapTopAndBottom/>
          <wp:docPr id="2065345864" name="Picture 20653458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1631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5910" cy="4000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618" w:rsidP="00EE1618" w:rsidRDefault="00EE1618" w14:paraId="0FB8B693" w14:textId="77777777">
      <w:pPr>
        <w:spacing w:after="0" w:line="240" w:lineRule="auto"/>
      </w:pPr>
      <w:r>
        <w:separator/>
      </w:r>
    </w:p>
  </w:footnote>
  <w:footnote w:type="continuationSeparator" w:id="0">
    <w:p w:rsidR="00EE1618" w:rsidP="00EE1618" w:rsidRDefault="00EE1618" w14:paraId="679F95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50B9"/>
    <w:multiLevelType w:val="hybridMultilevel"/>
    <w:tmpl w:val="11822E6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57D3F16"/>
    <w:multiLevelType w:val="hybridMultilevel"/>
    <w:tmpl w:val="C3BA2F3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77102958">
    <w:abstractNumId w:val="1"/>
  </w:num>
  <w:num w:numId="2" w16cid:durableId="35003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6F"/>
    <w:rsid w:val="002B42B4"/>
    <w:rsid w:val="005675E3"/>
    <w:rsid w:val="006F756F"/>
    <w:rsid w:val="008567A3"/>
    <w:rsid w:val="00A17340"/>
    <w:rsid w:val="00EE1618"/>
    <w:rsid w:val="6C6EE1B9"/>
    <w:rsid w:val="71091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BF9F3"/>
  <w15:chartTrackingRefBased/>
  <w15:docId w15:val="{AB6B8D1E-A331-4A99-8144-BEAD33A6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756F"/>
    <w:rPr>
      <w:rFonts w:ascii="Arial" w:hAnsi="Arial"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F756F"/>
    <w:pPr>
      <w:ind w:left="720"/>
      <w:contextualSpacing/>
    </w:pPr>
  </w:style>
  <w:style w:type="paragraph" w:styleId="Header">
    <w:name w:val="header"/>
    <w:basedOn w:val="Normal"/>
    <w:link w:val="HeaderChar"/>
    <w:uiPriority w:val="99"/>
    <w:unhideWhenUsed/>
    <w:rsid w:val="00EE16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1618"/>
    <w:rPr>
      <w:rFonts w:ascii="Arial" w:hAnsi="Arial" w:cs="Arial"/>
      <w:sz w:val="24"/>
      <w:szCs w:val="24"/>
    </w:rPr>
  </w:style>
  <w:style w:type="paragraph" w:styleId="Footer">
    <w:name w:val="footer"/>
    <w:basedOn w:val="Normal"/>
    <w:link w:val="FooterChar"/>
    <w:uiPriority w:val="99"/>
    <w:unhideWhenUsed/>
    <w:rsid w:val="00EE16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1618"/>
    <w:rPr>
      <w:rFonts w:ascii="Arial" w:hAnsi="Arial" w:cs="Arial"/>
      <w:sz w:val="24"/>
      <w:szCs w:val="24"/>
    </w:rPr>
  </w:style>
  <w:style w:type="table" w:styleId="TableGrid">
    <w:name w:val="Table Grid"/>
    <w:basedOn w:val="TableNormal"/>
    <w:uiPriority w:val="39"/>
    <w:rsid w:val="008567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Kankowski</dc:creator>
  <keywords/>
  <dc:description/>
  <lastModifiedBy>sarahhaden@activegloucestershire.org</lastModifiedBy>
  <revision>5</revision>
  <dcterms:created xsi:type="dcterms:W3CDTF">2024-02-12T13:19:00.0000000Z</dcterms:created>
  <dcterms:modified xsi:type="dcterms:W3CDTF">2024-08-15T11:47:06.0151552Z</dcterms:modified>
</coreProperties>
</file>