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03E8" w14:textId="5EC208D4" w:rsidR="00EC1448" w:rsidRPr="002F2FBF" w:rsidRDefault="00664F77" w:rsidP="00122980">
      <w:pPr>
        <w:pStyle w:val="Heading1"/>
        <w:spacing w:before="0"/>
        <w:rPr>
          <w:sz w:val="36"/>
          <w:szCs w:val="36"/>
        </w:rPr>
      </w:pPr>
      <w:bookmarkStart w:id="0" w:name="_Toc490486920"/>
      <w:r w:rsidRPr="002F2FBF">
        <w:rPr>
          <w:rFonts w:ascii="Arial" w:hAnsi="Arial" w:cs="Arial"/>
          <w:b/>
          <w:color w:val="auto"/>
          <w:sz w:val="28"/>
          <w:szCs w:val="28"/>
        </w:rPr>
        <w:t>Governance statement</w:t>
      </w:r>
      <w:bookmarkEnd w:id="0"/>
    </w:p>
    <w:p w14:paraId="240DBDC8" w14:textId="2762EEF3" w:rsidR="00410187" w:rsidRPr="00007146" w:rsidRDefault="001C211D" w:rsidP="00410187">
      <w:pPr>
        <w:pStyle w:val="Heading2"/>
        <w:numPr>
          <w:ilvl w:val="0"/>
          <w:numId w:val="24"/>
        </w:numPr>
        <w:spacing w:before="0"/>
        <w:rPr>
          <w:rFonts w:asciiTheme="minorHAnsi" w:hAnsiTheme="minorHAnsi" w:cstheme="minorHAnsi"/>
          <w:b/>
          <w:color w:val="2F5496" w:themeColor="accent5" w:themeShade="BF"/>
          <w:sz w:val="22"/>
          <w:szCs w:val="22"/>
        </w:rPr>
      </w:pPr>
      <w:r w:rsidRPr="00007146">
        <w:rPr>
          <w:rFonts w:asciiTheme="minorHAnsi" w:hAnsiTheme="minorHAnsi" w:cstheme="minorHAnsi"/>
          <w:b/>
          <w:color w:val="auto"/>
          <w:sz w:val="22"/>
          <w:szCs w:val="22"/>
        </w:rPr>
        <w:t>S</w:t>
      </w:r>
      <w:r w:rsidR="005164A7" w:rsidRPr="00007146">
        <w:rPr>
          <w:rFonts w:asciiTheme="minorHAnsi" w:hAnsiTheme="minorHAnsi" w:cstheme="minorHAnsi"/>
          <w:b/>
          <w:color w:val="auto"/>
          <w:sz w:val="22"/>
          <w:szCs w:val="22"/>
        </w:rPr>
        <w:t xml:space="preserve">cope of responsibility </w:t>
      </w:r>
    </w:p>
    <w:p w14:paraId="416CA85D" w14:textId="18039573" w:rsidR="005164A7" w:rsidRPr="00007146" w:rsidRDefault="005164A7" w:rsidP="00DE1DA3">
      <w:pPr>
        <w:autoSpaceDE w:val="0"/>
        <w:autoSpaceDN w:val="0"/>
        <w:adjustRightInd w:val="0"/>
        <w:spacing w:after="0"/>
        <w:rPr>
          <w:rFonts w:cstheme="minorHAnsi"/>
          <w:color w:val="2F5496" w:themeColor="accent5" w:themeShade="BF"/>
        </w:rPr>
      </w:pPr>
      <w:r w:rsidRPr="00007146">
        <w:rPr>
          <w:rFonts w:cstheme="minorHAnsi"/>
          <w:color w:val="000000" w:themeColor="text1"/>
        </w:rPr>
        <w:t>Active Gloucestershire is a charity and a company limited by guarantee, incorporated on 12</w:t>
      </w:r>
      <w:r w:rsidR="00EF2166" w:rsidRPr="00007146">
        <w:rPr>
          <w:rFonts w:cstheme="minorHAnsi"/>
          <w:color w:val="000000" w:themeColor="text1"/>
          <w:vertAlign w:val="superscript"/>
        </w:rPr>
        <w:t>th</w:t>
      </w:r>
      <w:r w:rsidR="005A206E" w:rsidRPr="00007146">
        <w:rPr>
          <w:rFonts w:cstheme="minorHAnsi"/>
          <w:color w:val="000000" w:themeColor="text1"/>
        </w:rPr>
        <w:t xml:space="preserve"> </w:t>
      </w:r>
      <w:r w:rsidRPr="00007146">
        <w:rPr>
          <w:rFonts w:cstheme="minorHAnsi"/>
          <w:color w:val="000000" w:themeColor="text1"/>
        </w:rPr>
        <w:t>August 201</w:t>
      </w:r>
      <w:r w:rsidR="003E0F75" w:rsidRPr="00007146">
        <w:rPr>
          <w:rFonts w:cstheme="minorHAnsi"/>
          <w:color w:val="000000" w:themeColor="text1"/>
        </w:rPr>
        <w:t>0</w:t>
      </w:r>
      <w:r w:rsidR="00391D9B" w:rsidRPr="00007146">
        <w:rPr>
          <w:rFonts w:cstheme="minorHAnsi"/>
          <w:color w:val="000000" w:themeColor="text1"/>
        </w:rPr>
        <w:t xml:space="preserve"> and </w:t>
      </w:r>
      <w:r w:rsidR="003E0F75" w:rsidRPr="00007146">
        <w:rPr>
          <w:rFonts w:cstheme="minorHAnsi"/>
          <w:color w:val="000000" w:themeColor="text1"/>
        </w:rPr>
        <w:t>registered as a charity on 25</w:t>
      </w:r>
      <w:r w:rsidR="003E0F75" w:rsidRPr="00007146">
        <w:rPr>
          <w:rFonts w:cstheme="minorHAnsi"/>
          <w:color w:val="000000" w:themeColor="text1"/>
          <w:vertAlign w:val="superscript"/>
        </w:rPr>
        <w:t>th</w:t>
      </w:r>
      <w:r w:rsidR="003E0F75" w:rsidRPr="00007146">
        <w:rPr>
          <w:rFonts w:cstheme="minorHAnsi"/>
          <w:color w:val="000000" w:themeColor="text1"/>
        </w:rPr>
        <w:t xml:space="preserve"> October 2010. </w:t>
      </w:r>
      <w:r w:rsidR="00C76E22" w:rsidRPr="00007146">
        <w:rPr>
          <w:rFonts w:cstheme="minorHAnsi"/>
          <w:color w:val="000000" w:themeColor="text1"/>
        </w:rPr>
        <w:t xml:space="preserve">Its </w:t>
      </w:r>
      <w:r w:rsidRPr="00007146">
        <w:rPr>
          <w:rFonts w:cstheme="minorHAnsi"/>
          <w:color w:val="000000" w:themeColor="text1"/>
        </w:rPr>
        <w:t xml:space="preserve">objects and powers are set out in </w:t>
      </w:r>
      <w:r w:rsidR="00EF317C" w:rsidRPr="00007146">
        <w:rPr>
          <w:rFonts w:cstheme="minorHAnsi"/>
          <w:color w:val="000000" w:themeColor="text1"/>
        </w:rPr>
        <w:t xml:space="preserve">its </w:t>
      </w:r>
      <w:r w:rsidRPr="00007146">
        <w:rPr>
          <w:rFonts w:cstheme="minorHAnsi"/>
          <w:color w:val="000000" w:themeColor="text1"/>
        </w:rPr>
        <w:t xml:space="preserve">Memorandum and Articles of Association. It is the responsibility of </w:t>
      </w:r>
      <w:r w:rsidR="00C76E22" w:rsidRPr="00007146">
        <w:rPr>
          <w:rFonts w:cstheme="minorHAnsi"/>
          <w:color w:val="000000" w:themeColor="text1"/>
        </w:rPr>
        <w:t>the</w:t>
      </w:r>
      <w:r w:rsidRPr="00007146">
        <w:rPr>
          <w:rFonts w:cstheme="minorHAnsi"/>
          <w:color w:val="000000" w:themeColor="text1"/>
        </w:rPr>
        <w:t xml:space="preserve"> Board and CEO to ensure that </w:t>
      </w:r>
      <w:r w:rsidR="00EF317C" w:rsidRPr="00007146">
        <w:rPr>
          <w:rFonts w:cstheme="minorHAnsi"/>
          <w:color w:val="000000" w:themeColor="text1"/>
        </w:rPr>
        <w:t xml:space="preserve">Active Gloucestershire </w:t>
      </w:r>
      <w:r w:rsidR="0088746E" w:rsidRPr="00007146">
        <w:rPr>
          <w:rFonts w:cstheme="minorHAnsi"/>
          <w:color w:val="000000" w:themeColor="text1"/>
        </w:rPr>
        <w:t>ha</w:t>
      </w:r>
      <w:r w:rsidR="00C76E22" w:rsidRPr="00007146">
        <w:rPr>
          <w:rFonts w:cstheme="minorHAnsi"/>
          <w:color w:val="000000" w:themeColor="text1"/>
        </w:rPr>
        <w:t>s</w:t>
      </w:r>
      <w:r w:rsidRPr="00007146">
        <w:rPr>
          <w:rFonts w:cstheme="minorHAnsi"/>
          <w:color w:val="000000" w:themeColor="text1"/>
        </w:rPr>
        <w:t xml:space="preserve"> effective governance arrangements, including a</w:t>
      </w:r>
      <w:r w:rsidR="005A206E" w:rsidRPr="00007146">
        <w:rPr>
          <w:rFonts w:cstheme="minorHAnsi"/>
          <w:color w:val="000000" w:themeColor="text1"/>
        </w:rPr>
        <w:t xml:space="preserve"> regular review of effectiveness, a </w:t>
      </w:r>
      <w:r w:rsidRPr="00007146">
        <w:rPr>
          <w:rFonts w:cstheme="minorHAnsi"/>
          <w:color w:val="000000" w:themeColor="text1"/>
        </w:rPr>
        <w:t>soun</w:t>
      </w:r>
      <w:r w:rsidR="00963C90" w:rsidRPr="00007146">
        <w:rPr>
          <w:rFonts w:cstheme="minorHAnsi"/>
          <w:color w:val="000000" w:themeColor="text1"/>
        </w:rPr>
        <w:t>d system of internal control</w:t>
      </w:r>
      <w:r w:rsidR="00777C89" w:rsidRPr="00007146">
        <w:rPr>
          <w:rFonts w:cstheme="minorHAnsi"/>
          <w:color w:val="000000" w:themeColor="text1"/>
        </w:rPr>
        <w:t xml:space="preserve">, </w:t>
      </w:r>
      <w:r w:rsidR="00EF2166" w:rsidRPr="00007146">
        <w:rPr>
          <w:rFonts w:cstheme="minorHAnsi"/>
          <w:color w:val="000000" w:themeColor="text1"/>
        </w:rPr>
        <w:t xml:space="preserve">and </w:t>
      </w:r>
      <w:r w:rsidR="005A206E" w:rsidRPr="00007146">
        <w:rPr>
          <w:rFonts w:cstheme="minorHAnsi"/>
          <w:color w:val="000000" w:themeColor="text1"/>
        </w:rPr>
        <w:t>meets any</w:t>
      </w:r>
      <w:r w:rsidR="00EF2166" w:rsidRPr="00007146">
        <w:rPr>
          <w:rFonts w:cstheme="minorHAnsi"/>
          <w:color w:val="000000" w:themeColor="text1"/>
        </w:rPr>
        <w:t xml:space="preserve"> </w:t>
      </w:r>
      <w:r w:rsidR="005A206E" w:rsidRPr="00007146">
        <w:rPr>
          <w:rFonts w:cstheme="minorHAnsi"/>
          <w:color w:val="000000" w:themeColor="text1"/>
        </w:rPr>
        <w:t>changes in</w:t>
      </w:r>
      <w:r w:rsidR="00EF2166" w:rsidRPr="00007146">
        <w:rPr>
          <w:rFonts w:cstheme="minorHAnsi"/>
          <w:color w:val="000000" w:themeColor="text1"/>
        </w:rPr>
        <w:t xml:space="preserve"> legal requirements</w:t>
      </w:r>
      <w:r w:rsidR="00EF2166" w:rsidRPr="00007146">
        <w:rPr>
          <w:rFonts w:cstheme="minorHAnsi"/>
          <w:color w:val="2F5496" w:themeColor="accent5" w:themeShade="BF"/>
        </w:rPr>
        <w:t>.</w:t>
      </w:r>
    </w:p>
    <w:p w14:paraId="4C4FFDB0" w14:textId="33C42EEA" w:rsidR="00C76E22" w:rsidRPr="00007146" w:rsidRDefault="00C76E22" w:rsidP="00C76E22">
      <w:pPr>
        <w:autoSpaceDE w:val="0"/>
        <w:autoSpaceDN w:val="0"/>
        <w:adjustRightInd w:val="0"/>
        <w:spacing w:after="0"/>
        <w:rPr>
          <w:rFonts w:cstheme="minorHAnsi"/>
          <w:b/>
          <w:bCs/>
          <w:color w:val="2F5496" w:themeColor="accent5" w:themeShade="BF"/>
        </w:rPr>
      </w:pPr>
    </w:p>
    <w:p w14:paraId="7A879D7A" w14:textId="636150BB" w:rsidR="002F2FBF" w:rsidRPr="00007146" w:rsidRDefault="00C76E22" w:rsidP="002F2FBF">
      <w:pPr>
        <w:pStyle w:val="ListParagraph"/>
        <w:numPr>
          <w:ilvl w:val="0"/>
          <w:numId w:val="24"/>
        </w:numPr>
        <w:autoSpaceDE w:val="0"/>
        <w:autoSpaceDN w:val="0"/>
        <w:adjustRightInd w:val="0"/>
        <w:spacing w:after="0"/>
        <w:rPr>
          <w:rFonts w:cstheme="minorHAnsi"/>
          <w:b/>
          <w:bCs/>
          <w:color w:val="2F5496" w:themeColor="accent5" w:themeShade="BF"/>
        </w:rPr>
      </w:pPr>
      <w:r w:rsidRPr="00007146">
        <w:rPr>
          <w:rFonts w:cstheme="minorHAnsi"/>
          <w:b/>
          <w:bCs/>
        </w:rPr>
        <w:t>Strategic context</w:t>
      </w:r>
    </w:p>
    <w:p w14:paraId="1B328C48" w14:textId="53993C8A" w:rsidR="00727AD1" w:rsidRPr="00007146" w:rsidRDefault="002F2FBF" w:rsidP="00DE1DA3">
      <w:pPr>
        <w:autoSpaceDE w:val="0"/>
        <w:autoSpaceDN w:val="0"/>
        <w:adjustRightInd w:val="0"/>
        <w:spacing w:after="0"/>
        <w:rPr>
          <w:rFonts w:cstheme="minorHAnsi"/>
          <w:color w:val="000000" w:themeColor="text1"/>
        </w:rPr>
      </w:pPr>
      <w:r w:rsidRPr="00007146">
        <w:rPr>
          <w:rFonts w:cstheme="minorHAnsi"/>
          <w:color w:val="000000" w:themeColor="text1"/>
        </w:rPr>
        <w:t xml:space="preserve">Over the last twelve months the strategy for </w:t>
      </w:r>
      <w:r w:rsidRPr="00007146">
        <w:rPr>
          <w:rFonts w:cstheme="minorHAnsi"/>
          <w:b/>
          <w:bCs/>
          <w:color w:val="000000" w:themeColor="text1"/>
        </w:rPr>
        <w:t xml:space="preserve">we can move </w:t>
      </w:r>
      <w:r w:rsidRPr="00007146">
        <w:rPr>
          <w:rFonts w:cstheme="minorHAnsi"/>
          <w:color w:val="000000" w:themeColor="text1"/>
        </w:rPr>
        <w:t>and Active Gloucestershire</w:t>
      </w:r>
      <w:r w:rsidR="005A206E" w:rsidRPr="00007146">
        <w:rPr>
          <w:rFonts w:cstheme="minorHAnsi"/>
          <w:color w:val="000000" w:themeColor="text1"/>
        </w:rPr>
        <w:t xml:space="preserve"> has been reviewed</w:t>
      </w:r>
      <w:r w:rsidRPr="00007146">
        <w:rPr>
          <w:rFonts w:cstheme="minorHAnsi"/>
          <w:color w:val="000000" w:themeColor="text1"/>
        </w:rPr>
        <w:t xml:space="preserve">. At the Active Gloucestershire Board meeting in March the </w:t>
      </w:r>
      <w:r w:rsidR="005A206E" w:rsidRPr="00007146">
        <w:rPr>
          <w:rFonts w:cstheme="minorHAnsi"/>
          <w:color w:val="000000" w:themeColor="text1"/>
        </w:rPr>
        <w:t>strategies we</w:t>
      </w:r>
      <w:r w:rsidR="006631E0" w:rsidRPr="00007146">
        <w:rPr>
          <w:rFonts w:cstheme="minorHAnsi"/>
          <w:color w:val="000000" w:themeColor="text1"/>
        </w:rPr>
        <w:t>re</w:t>
      </w:r>
      <w:r w:rsidR="005A206E" w:rsidRPr="00007146">
        <w:rPr>
          <w:rFonts w:cstheme="minorHAnsi"/>
          <w:color w:val="000000" w:themeColor="text1"/>
        </w:rPr>
        <w:t xml:space="preserve"> </w:t>
      </w:r>
      <w:r w:rsidR="006631E0" w:rsidRPr="00007146">
        <w:rPr>
          <w:rFonts w:cstheme="minorHAnsi"/>
          <w:color w:val="000000" w:themeColor="text1"/>
        </w:rPr>
        <w:t>agreed</w:t>
      </w:r>
      <w:r w:rsidR="005A206E" w:rsidRPr="00007146">
        <w:rPr>
          <w:rFonts w:cstheme="minorHAnsi"/>
          <w:color w:val="000000" w:themeColor="text1"/>
        </w:rPr>
        <w:t xml:space="preserve">, taking a longer term view </w:t>
      </w:r>
      <w:r w:rsidRPr="00007146">
        <w:rPr>
          <w:rFonts w:cstheme="minorHAnsi"/>
          <w:color w:val="000000" w:themeColor="text1"/>
        </w:rPr>
        <w:t>to</w:t>
      </w:r>
      <w:r w:rsidR="006631E0" w:rsidRPr="00007146">
        <w:rPr>
          <w:rFonts w:cstheme="minorHAnsi"/>
          <w:color w:val="000000" w:themeColor="text1"/>
        </w:rPr>
        <w:t xml:space="preserve"> conclude in</w:t>
      </w:r>
      <w:r w:rsidRPr="00007146">
        <w:rPr>
          <w:rFonts w:cstheme="minorHAnsi"/>
          <w:color w:val="000000" w:themeColor="text1"/>
        </w:rPr>
        <w:t xml:space="preserve"> 2030.</w:t>
      </w:r>
      <w:r w:rsidR="00D9528B" w:rsidRPr="00007146">
        <w:rPr>
          <w:rFonts w:cstheme="minorHAnsi"/>
          <w:color w:val="000000" w:themeColor="text1"/>
        </w:rPr>
        <w:t xml:space="preserve"> </w:t>
      </w:r>
      <w:r w:rsidRPr="00007146">
        <w:rPr>
          <w:rFonts w:cstheme="minorHAnsi"/>
          <w:color w:val="000000" w:themeColor="text1"/>
        </w:rPr>
        <w:t xml:space="preserve">The </w:t>
      </w:r>
      <w:r w:rsidRPr="00007146">
        <w:rPr>
          <w:rFonts w:cstheme="minorHAnsi"/>
          <w:b/>
          <w:bCs/>
          <w:color w:val="000000" w:themeColor="text1"/>
        </w:rPr>
        <w:t>we can move</w:t>
      </w:r>
      <w:r w:rsidRPr="00007146">
        <w:rPr>
          <w:rFonts w:cstheme="minorHAnsi"/>
          <w:color w:val="000000" w:themeColor="text1"/>
        </w:rPr>
        <w:t xml:space="preserve"> and Active Gloucestershire strategies</w:t>
      </w:r>
      <w:r w:rsidR="00727AD1" w:rsidRPr="00007146">
        <w:rPr>
          <w:rFonts w:cstheme="minorHAnsi"/>
          <w:color w:val="000000" w:themeColor="text1"/>
        </w:rPr>
        <w:t xml:space="preserve"> build on the work from the last strategic period and focus on:</w:t>
      </w:r>
    </w:p>
    <w:p w14:paraId="0F334E6F" w14:textId="77777777" w:rsidR="00727AD1" w:rsidRPr="00007146" w:rsidRDefault="00727AD1" w:rsidP="002F2FBF">
      <w:pPr>
        <w:autoSpaceDE w:val="0"/>
        <w:autoSpaceDN w:val="0"/>
        <w:adjustRightInd w:val="0"/>
        <w:spacing w:after="0"/>
        <w:ind w:left="360"/>
        <w:rPr>
          <w:rFonts w:cstheme="minorHAnsi"/>
          <w:color w:val="000000" w:themeColor="text1"/>
        </w:rPr>
      </w:pPr>
    </w:p>
    <w:p w14:paraId="26A02143" w14:textId="42D68D27" w:rsidR="00D25CAE" w:rsidRPr="00007146" w:rsidRDefault="00405C6A" w:rsidP="00107A6E">
      <w:pPr>
        <w:pStyle w:val="ListParagraph"/>
        <w:numPr>
          <w:ilvl w:val="0"/>
          <w:numId w:val="69"/>
        </w:numPr>
        <w:autoSpaceDE w:val="0"/>
        <w:autoSpaceDN w:val="0"/>
        <w:adjustRightInd w:val="0"/>
        <w:spacing w:after="0" w:line="240" w:lineRule="auto"/>
        <w:rPr>
          <w:rFonts w:cstheme="minorHAnsi"/>
          <w:b/>
          <w:bCs/>
          <w:color w:val="000000" w:themeColor="text1"/>
        </w:rPr>
      </w:pPr>
      <w:r w:rsidRPr="00007146">
        <w:rPr>
          <w:rFonts w:cstheme="minorHAnsi"/>
          <w:color w:val="000000" w:themeColor="text1"/>
        </w:rPr>
        <w:t xml:space="preserve">Continuing to </w:t>
      </w:r>
      <w:r w:rsidR="00BE1297" w:rsidRPr="00007146">
        <w:rPr>
          <w:rFonts w:cstheme="minorHAnsi"/>
          <w:color w:val="000000" w:themeColor="text1"/>
        </w:rPr>
        <w:t xml:space="preserve">grow </w:t>
      </w:r>
      <w:r w:rsidR="006631E0" w:rsidRPr="00007146">
        <w:rPr>
          <w:rFonts w:cstheme="minorHAnsi"/>
          <w:color w:val="000000" w:themeColor="text1"/>
        </w:rPr>
        <w:t xml:space="preserve">the effectiveness of </w:t>
      </w:r>
      <w:r w:rsidR="00BE1297" w:rsidRPr="00007146">
        <w:rPr>
          <w:rFonts w:cstheme="minorHAnsi"/>
          <w:color w:val="000000" w:themeColor="text1"/>
        </w:rPr>
        <w:t xml:space="preserve">Gloucestershire’s movement for physical activity – </w:t>
      </w:r>
      <w:r w:rsidR="00BE1297" w:rsidRPr="00007146">
        <w:rPr>
          <w:rFonts w:cstheme="minorHAnsi"/>
          <w:b/>
          <w:bCs/>
          <w:color w:val="000000" w:themeColor="text1"/>
        </w:rPr>
        <w:t>we can move</w:t>
      </w:r>
      <w:r w:rsidR="00131192" w:rsidRPr="00007146">
        <w:rPr>
          <w:rFonts w:cstheme="minorHAnsi"/>
          <w:b/>
          <w:bCs/>
          <w:color w:val="000000" w:themeColor="text1"/>
        </w:rPr>
        <w:t>.</w:t>
      </w:r>
    </w:p>
    <w:p w14:paraId="6E5F2166" w14:textId="593CAB61" w:rsidR="00D25CAE" w:rsidRPr="00007146" w:rsidRDefault="00D25CAE" w:rsidP="00107A6E">
      <w:pPr>
        <w:pStyle w:val="ListParagraph"/>
        <w:numPr>
          <w:ilvl w:val="0"/>
          <w:numId w:val="69"/>
        </w:numPr>
        <w:autoSpaceDE w:val="0"/>
        <w:autoSpaceDN w:val="0"/>
        <w:adjustRightInd w:val="0"/>
        <w:spacing w:after="0" w:line="240" w:lineRule="auto"/>
        <w:rPr>
          <w:rFonts w:cstheme="minorHAnsi"/>
          <w:b/>
          <w:bCs/>
          <w:color w:val="000000" w:themeColor="text1"/>
        </w:rPr>
      </w:pPr>
      <w:r w:rsidRPr="00007146">
        <w:rPr>
          <w:rFonts w:cstheme="minorHAnsi"/>
          <w:color w:val="000000" w:themeColor="text1"/>
        </w:rPr>
        <w:t xml:space="preserve">Testing approaches to increase the impact of physical activity e.g. </w:t>
      </w:r>
      <w:r w:rsidR="00A840AA" w:rsidRPr="00007146">
        <w:rPr>
          <w:rFonts w:cstheme="minorHAnsi"/>
          <w:color w:val="000000" w:themeColor="text1"/>
        </w:rPr>
        <w:t xml:space="preserve">use of </w:t>
      </w:r>
      <w:r w:rsidRPr="00007146">
        <w:rPr>
          <w:rFonts w:cstheme="minorHAnsi"/>
          <w:color w:val="000000" w:themeColor="text1"/>
        </w:rPr>
        <w:t xml:space="preserve">behaviour change </w:t>
      </w:r>
      <w:r w:rsidR="00A840AA" w:rsidRPr="00007146">
        <w:rPr>
          <w:rFonts w:cstheme="minorHAnsi"/>
          <w:color w:val="000000" w:themeColor="text1"/>
        </w:rPr>
        <w:t>theory</w:t>
      </w:r>
      <w:r w:rsidRPr="00007146">
        <w:rPr>
          <w:rFonts w:cstheme="minorHAnsi"/>
          <w:color w:val="000000" w:themeColor="text1"/>
        </w:rPr>
        <w:t xml:space="preserve"> or Asset Based Community Development</w:t>
      </w:r>
      <w:r w:rsidR="00131192" w:rsidRPr="00007146">
        <w:rPr>
          <w:rFonts w:cstheme="minorHAnsi"/>
          <w:color w:val="000000" w:themeColor="text1"/>
        </w:rPr>
        <w:t>.</w:t>
      </w:r>
    </w:p>
    <w:p w14:paraId="229ED909" w14:textId="49366FE4" w:rsidR="00D25CAE" w:rsidRPr="00007146" w:rsidRDefault="00D25CAE" w:rsidP="00107A6E">
      <w:pPr>
        <w:pStyle w:val="ListParagraph"/>
        <w:numPr>
          <w:ilvl w:val="0"/>
          <w:numId w:val="69"/>
        </w:numPr>
        <w:autoSpaceDE w:val="0"/>
        <w:autoSpaceDN w:val="0"/>
        <w:adjustRightInd w:val="0"/>
        <w:spacing w:after="0" w:line="240" w:lineRule="auto"/>
        <w:rPr>
          <w:rFonts w:cstheme="minorHAnsi"/>
          <w:b/>
          <w:bCs/>
          <w:color w:val="000000" w:themeColor="text1"/>
        </w:rPr>
      </w:pPr>
      <w:r w:rsidRPr="00007146">
        <w:rPr>
          <w:rFonts w:cstheme="minorHAnsi"/>
          <w:color w:val="000000" w:themeColor="text1"/>
        </w:rPr>
        <w:t xml:space="preserve">Sharing learning and skills across the movement as part of </w:t>
      </w:r>
      <w:r w:rsidR="00075C50" w:rsidRPr="00007146">
        <w:rPr>
          <w:rFonts w:cstheme="minorHAnsi"/>
          <w:color w:val="000000" w:themeColor="text1"/>
        </w:rPr>
        <w:t>the</w:t>
      </w:r>
      <w:r w:rsidRPr="00007146">
        <w:rPr>
          <w:rFonts w:cstheme="minorHAnsi"/>
          <w:color w:val="000000" w:themeColor="text1"/>
        </w:rPr>
        <w:t xml:space="preserve"> Changemaker programme</w:t>
      </w:r>
      <w:r w:rsidR="00131192" w:rsidRPr="00007146">
        <w:rPr>
          <w:rFonts w:cstheme="minorHAnsi"/>
          <w:color w:val="000000" w:themeColor="text1"/>
        </w:rPr>
        <w:t>.</w:t>
      </w:r>
    </w:p>
    <w:p w14:paraId="6795C79E" w14:textId="486F6514" w:rsidR="00D25CAE" w:rsidRPr="00007146" w:rsidRDefault="00D25CAE" w:rsidP="00107A6E">
      <w:pPr>
        <w:pStyle w:val="ListParagraph"/>
        <w:numPr>
          <w:ilvl w:val="0"/>
          <w:numId w:val="69"/>
        </w:numPr>
        <w:autoSpaceDE w:val="0"/>
        <w:autoSpaceDN w:val="0"/>
        <w:adjustRightInd w:val="0"/>
        <w:spacing w:after="0" w:line="240" w:lineRule="auto"/>
        <w:rPr>
          <w:rFonts w:cstheme="minorHAnsi"/>
          <w:b/>
          <w:bCs/>
          <w:color w:val="000000" w:themeColor="text1"/>
        </w:rPr>
      </w:pPr>
      <w:r w:rsidRPr="00007146">
        <w:rPr>
          <w:rFonts w:cstheme="minorHAnsi"/>
          <w:color w:val="000000" w:themeColor="text1"/>
        </w:rPr>
        <w:t xml:space="preserve">Continuing the </w:t>
      </w:r>
      <w:r w:rsidRPr="00007146">
        <w:rPr>
          <w:rFonts w:cstheme="minorHAnsi"/>
          <w:b/>
          <w:bCs/>
          <w:color w:val="000000" w:themeColor="text1"/>
        </w:rPr>
        <w:t>we can move</w:t>
      </w:r>
      <w:r w:rsidRPr="00007146">
        <w:rPr>
          <w:rFonts w:cstheme="minorHAnsi"/>
          <w:color w:val="000000" w:themeColor="text1"/>
        </w:rPr>
        <w:t xml:space="preserve"> evaluation to support learning and improvement</w:t>
      </w:r>
      <w:r w:rsidR="00131192" w:rsidRPr="00007146">
        <w:rPr>
          <w:rFonts w:cstheme="minorHAnsi"/>
          <w:color w:val="000000" w:themeColor="text1"/>
        </w:rPr>
        <w:t>.</w:t>
      </w:r>
    </w:p>
    <w:p w14:paraId="0D4397F6" w14:textId="742B9FAD" w:rsidR="00C76E22" w:rsidRPr="00007146" w:rsidRDefault="00D25CAE" w:rsidP="00107A6E">
      <w:pPr>
        <w:pStyle w:val="ListParagraph"/>
        <w:numPr>
          <w:ilvl w:val="0"/>
          <w:numId w:val="69"/>
        </w:numPr>
        <w:autoSpaceDE w:val="0"/>
        <w:autoSpaceDN w:val="0"/>
        <w:adjustRightInd w:val="0"/>
        <w:spacing w:after="0" w:line="240" w:lineRule="auto"/>
        <w:rPr>
          <w:rFonts w:cstheme="minorHAnsi"/>
          <w:b/>
          <w:bCs/>
          <w:color w:val="000000" w:themeColor="text1"/>
        </w:rPr>
      </w:pPr>
      <w:r w:rsidRPr="00007146">
        <w:rPr>
          <w:rFonts w:cstheme="minorHAnsi"/>
          <w:color w:val="000000" w:themeColor="text1"/>
        </w:rPr>
        <w:t xml:space="preserve">Testing </w:t>
      </w:r>
      <w:r w:rsidR="00BB3E27" w:rsidRPr="00007146">
        <w:rPr>
          <w:rFonts w:cstheme="minorHAnsi"/>
          <w:color w:val="000000" w:themeColor="text1"/>
        </w:rPr>
        <w:t xml:space="preserve">governance approaches </w:t>
      </w:r>
      <w:r w:rsidRPr="00007146">
        <w:rPr>
          <w:rFonts w:cstheme="minorHAnsi"/>
          <w:color w:val="000000" w:themeColor="text1"/>
        </w:rPr>
        <w:t xml:space="preserve">and learning </w:t>
      </w:r>
      <w:r w:rsidR="00BB3E27">
        <w:rPr>
          <w:rFonts w:cstheme="minorHAnsi"/>
          <w:color w:val="000000" w:themeColor="text1"/>
        </w:rPr>
        <w:t>how</w:t>
      </w:r>
      <w:r w:rsidRPr="00007146">
        <w:rPr>
          <w:rFonts w:cstheme="minorHAnsi"/>
          <w:color w:val="000000" w:themeColor="text1"/>
        </w:rPr>
        <w:t xml:space="preserve"> to </w:t>
      </w:r>
      <w:r w:rsidR="006F2B57" w:rsidRPr="00007146">
        <w:rPr>
          <w:rFonts w:cstheme="minorHAnsi"/>
          <w:color w:val="000000" w:themeColor="text1"/>
        </w:rPr>
        <w:t>provide</w:t>
      </w:r>
      <w:r w:rsidRPr="00007146">
        <w:rPr>
          <w:rFonts w:cstheme="minorHAnsi"/>
          <w:color w:val="000000" w:themeColor="text1"/>
        </w:rPr>
        <w:t xml:space="preserve"> greater opportunities</w:t>
      </w:r>
      <w:r w:rsidR="006F2B57" w:rsidRPr="00007146">
        <w:rPr>
          <w:rFonts w:cstheme="minorHAnsi"/>
          <w:color w:val="000000" w:themeColor="text1"/>
        </w:rPr>
        <w:t xml:space="preserve"> for </w:t>
      </w:r>
      <w:r w:rsidR="00BB3E27">
        <w:rPr>
          <w:rFonts w:cstheme="minorHAnsi"/>
          <w:color w:val="000000" w:themeColor="text1"/>
        </w:rPr>
        <w:t xml:space="preserve">more </w:t>
      </w:r>
      <w:r w:rsidR="006F2B57" w:rsidRPr="00007146">
        <w:rPr>
          <w:rFonts w:cstheme="minorHAnsi"/>
          <w:color w:val="000000" w:themeColor="text1"/>
        </w:rPr>
        <w:t>people</w:t>
      </w:r>
      <w:r w:rsidRPr="00007146">
        <w:rPr>
          <w:rFonts w:cstheme="minorHAnsi"/>
          <w:color w:val="000000" w:themeColor="text1"/>
        </w:rPr>
        <w:t xml:space="preserve"> to be involved in decision making. </w:t>
      </w:r>
      <w:r w:rsidR="00410187" w:rsidRPr="00007146">
        <w:rPr>
          <w:rFonts w:cstheme="minorHAnsi"/>
          <w:b/>
          <w:bCs/>
          <w:color w:val="000000" w:themeColor="text1"/>
        </w:rPr>
        <w:br/>
      </w:r>
    </w:p>
    <w:p w14:paraId="31DD6C34" w14:textId="774710E1" w:rsidR="005B2C55" w:rsidRPr="00007146" w:rsidRDefault="00C32E95" w:rsidP="00391D9B">
      <w:pPr>
        <w:pStyle w:val="ListParagraph"/>
        <w:numPr>
          <w:ilvl w:val="0"/>
          <w:numId w:val="24"/>
        </w:numPr>
        <w:autoSpaceDE w:val="0"/>
        <w:autoSpaceDN w:val="0"/>
        <w:adjustRightInd w:val="0"/>
        <w:spacing w:after="32"/>
        <w:rPr>
          <w:rFonts w:cstheme="minorHAnsi"/>
          <w:b/>
        </w:rPr>
      </w:pPr>
      <w:r w:rsidRPr="00007146">
        <w:rPr>
          <w:rFonts w:cstheme="minorHAnsi"/>
          <w:b/>
        </w:rPr>
        <w:t>Board</w:t>
      </w:r>
      <w:r w:rsidR="00434FBA" w:rsidRPr="00007146">
        <w:rPr>
          <w:rFonts w:cstheme="minorHAnsi"/>
          <w:b/>
        </w:rPr>
        <w:t xml:space="preserve"> m</w:t>
      </w:r>
      <w:r w:rsidR="001C211D" w:rsidRPr="00007146">
        <w:rPr>
          <w:rFonts w:cstheme="minorHAnsi"/>
          <w:b/>
        </w:rPr>
        <w:t>embership</w:t>
      </w:r>
    </w:p>
    <w:p w14:paraId="776AC03E" w14:textId="303FF582" w:rsidR="00391D9B" w:rsidRDefault="00C76E22" w:rsidP="00DE1DA3">
      <w:pPr>
        <w:rPr>
          <w:rFonts w:cstheme="minorHAnsi"/>
          <w:color w:val="000000" w:themeColor="text1"/>
        </w:rPr>
      </w:pPr>
      <w:r w:rsidRPr="00007146">
        <w:rPr>
          <w:rFonts w:cstheme="minorHAnsi"/>
          <w:color w:val="000000" w:themeColor="text1"/>
        </w:rPr>
        <w:t>Active Gloucestershire</w:t>
      </w:r>
      <w:r w:rsidR="000433B7" w:rsidRPr="00007146">
        <w:rPr>
          <w:rFonts w:cstheme="minorHAnsi"/>
          <w:color w:val="000000" w:themeColor="text1"/>
        </w:rPr>
        <w:t xml:space="preserve"> </w:t>
      </w:r>
      <w:r w:rsidR="001D2CF8" w:rsidRPr="00007146">
        <w:rPr>
          <w:rFonts w:cstheme="minorHAnsi"/>
          <w:color w:val="000000" w:themeColor="text1"/>
        </w:rPr>
        <w:t>ha</w:t>
      </w:r>
      <w:r w:rsidRPr="00007146">
        <w:rPr>
          <w:rFonts w:cstheme="minorHAnsi"/>
          <w:color w:val="000000" w:themeColor="text1"/>
        </w:rPr>
        <w:t>s</w:t>
      </w:r>
      <w:r w:rsidR="001D2CF8" w:rsidRPr="00007146">
        <w:rPr>
          <w:rFonts w:cstheme="minorHAnsi"/>
          <w:color w:val="000000" w:themeColor="text1"/>
        </w:rPr>
        <w:t xml:space="preserve"> an</w:t>
      </w:r>
      <w:r w:rsidR="00567C5A" w:rsidRPr="00007146">
        <w:rPr>
          <w:rFonts w:cstheme="minorHAnsi"/>
          <w:color w:val="000000" w:themeColor="text1"/>
        </w:rPr>
        <w:t xml:space="preserve"> active and effective Board of</w:t>
      </w:r>
      <w:r w:rsidR="008C64AE" w:rsidRPr="00007146">
        <w:rPr>
          <w:rFonts w:cstheme="minorHAnsi"/>
          <w:color w:val="000000" w:themeColor="text1"/>
        </w:rPr>
        <w:t xml:space="preserve"> </w:t>
      </w:r>
      <w:r w:rsidR="005B2C55" w:rsidRPr="00007146">
        <w:rPr>
          <w:rFonts w:cstheme="minorHAnsi"/>
          <w:color w:val="000000" w:themeColor="text1"/>
        </w:rPr>
        <w:t>nine</w:t>
      </w:r>
      <w:r w:rsidR="005C7F05" w:rsidRPr="00007146">
        <w:rPr>
          <w:rFonts w:cstheme="minorHAnsi"/>
          <w:color w:val="000000" w:themeColor="text1"/>
        </w:rPr>
        <w:t xml:space="preserve"> </w:t>
      </w:r>
      <w:r w:rsidR="00EE55AF" w:rsidRPr="00007146">
        <w:rPr>
          <w:rFonts w:cstheme="minorHAnsi"/>
          <w:color w:val="000000" w:themeColor="text1"/>
        </w:rPr>
        <w:t>Trustees</w:t>
      </w:r>
      <w:r w:rsidR="00935DFA" w:rsidRPr="00007146">
        <w:rPr>
          <w:rFonts w:cstheme="minorHAnsi"/>
          <w:color w:val="000000" w:themeColor="text1"/>
        </w:rPr>
        <w:t>,</w:t>
      </w:r>
      <w:r w:rsidR="00EE55AF" w:rsidRPr="00007146">
        <w:rPr>
          <w:rFonts w:cstheme="minorHAnsi"/>
          <w:color w:val="000000" w:themeColor="text1"/>
        </w:rPr>
        <w:t xml:space="preserve"> </w:t>
      </w:r>
      <w:r w:rsidR="000433B7" w:rsidRPr="00007146">
        <w:rPr>
          <w:rFonts w:cstheme="minorHAnsi"/>
          <w:color w:val="000000" w:themeColor="text1"/>
        </w:rPr>
        <w:t xml:space="preserve">comprising </w:t>
      </w:r>
      <w:r w:rsidR="00EE55AF" w:rsidRPr="00007146">
        <w:rPr>
          <w:rFonts w:cstheme="minorHAnsi"/>
          <w:color w:val="000000" w:themeColor="text1"/>
        </w:rPr>
        <w:t>a Chair, a</w:t>
      </w:r>
      <w:r w:rsidR="005A5F9B" w:rsidRPr="00007146">
        <w:rPr>
          <w:rFonts w:cstheme="minorHAnsi"/>
          <w:color w:val="000000" w:themeColor="text1"/>
        </w:rPr>
        <w:t xml:space="preserve">nd </w:t>
      </w:r>
      <w:r w:rsidR="005B2C55" w:rsidRPr="00007146">
        <w:rPr>
          <w:rFonts w:cstheme="minorHAnsi"/>
          <w:color w:val="000000" w:themeColor="text1"/>
        </w:rPr>
        <w:t>eight</w:t>
      </w:r>
      <w:r w:rsidR="00EE55AF" w:rsidRPr="00007146">
        <w:rPr>
          <w:rFonts w:cstheme="minorHAnsi"/>
          <w:color w:val="000000" w:themeColor="text1"/>
        </w:rPr>
        <w:t xml:space="preserve"> other</w:t>
      </w:r>
      <w:r w:rsidR="00082AC6">
        <w:rPr>
          <w:rFonts w:cstheme="minorHAnsi"/>
          <w:color w:val="000000" w:themeColor="text1"/>
        </w:rPr>
        <w:t>s</w:t>
      </w:r>
      <w:r w:rsidR="000433B7" w:rsidRPr="00007146">
        <w:rPr>
          <w:rFonts w:cstheme="minorHAnsi"/>
          <w:color w:val="000000" w:themeColor="text1"/>
        </w:rPr>
        <w:t xml:space="preserve">, </w:t>
      </w:r>
      <w:r w:rsidR="00817397" w:rsidRPr="00007146">
        <w:rPr>
          <w:rFonts w:cstheme="minorHAnsi"/>
          <w:color w:val="000000" w:themeColor="text1"/>
        </w:rPr>
        <w:t xml:space="preserve">all of whom </w:t>
      </w:r>
      <w:r w:rsidR="006B498B" w:rsidRPr="00007146">
        <w:rPr>
          <w:rFonts w:cstheme="minorHAnsi"/>
          <w:color w:val="000000" w:themeColor="text1"/>
        </w:rPr>
        <w:t>were</w:t>
      </w:r>
      <w:r w:rsidR="001D2CF8" w:rsidRPr="00007146">
        <w:rPr>
          <w:rFonts w:cstheme="minorHAnsi"/>
          <w:color w:val="000000" w:themeColor="text1"/>
        </w:rPr>
        <w:t xml:space="preserve"> recruit</w:t>
      </w:r>
      <w:r w:rsidR="00136B1E" w:rsidRPr="00007146">
        <w:rPr>
          <w:rFonts w:cstheme="minorHAnsi"/>
          <w:color w:val="000000" w:themeColor="text1"/>
        </w:rPr>
        <w:t>ed transparently</w:t>
      </w:r>
      <w:r w:rsidR="000433B7" w:rsidRPr="00007146">
        <w:rPr>
          <w:rFonts w:cstheme="minorHAnsi"/>
          <w:color w:val="000000" w:themeColor="text1"/>
        </w:rPr>
        <w:t xml:space="preserve"> </w:t>
      </w:r>
      <w:r w:rsidR="00136B1E" w:rsidRPr="00007146">
        <w:rPr>
          <w:rFonts w:cstheme="minorHAnsi"/>
          <w:color w:val="000000" w:themeColor="text1"/>
        </w:rPr>
        <w:t>on a</w:t>
      </w:r>
      <w:r w:rsidR="001D2CF8" w:rsidRPr="00007146">
        <w:rPr>
          <w:rFonts w:cstheme="minorHAnsi"/>
          <w:color w:val="000000" w:themeColor="text1"/>
        </w:rPr>
        <w:t xml:space="preserve"> skills</w:t>
      </w:r>
      <w:r w:rsidR="000B60C3" w:rsidRPr="00007146">
        <w:rPr>
          <w:rFonts w:cstheme="minorHAnsi"/>
          <w:color w:val="000000" w:themeColor="text1"/>
        </w:rPr>
        <w:t>-</w:t>
      </w:r>
      <w:r w:rsidR="001D2CF8" w:rsidRPr="00007146">
        <w:rPr>
          <w:rFonts w:cstheme="minorHAnsi"/>
          <w:color w:val="000000" w:themeColor="text1"/>
        </w:rPr>
        <w:t>led bas</w:t>
      </w:r>
      <w:r w:rsidR="00C34277" w:rsidRPr="00007146">
        <w:rPr>
          <w:rFonts w:cstheme="minorHAnsi"/>
          <w:color w:val="000000" w:themeColor="text1"/>
        </w:rPr>
        <w:t xml:space="preserve">is. </w:t>
      </w:r>
      <w:r w:rsidR="00677715" w:rsidRPr="00007146">
        <w:rPr>
          <w:rFonts w:cstheme="minorHAnsi"/>
          <w:color w:val="000000" w:themeColor="text1"/>
        </w:rPr>
        <w:t>All Trustees are appointed for an initial term of three years.  No Trustee may serve more than nine years,</w:t>
      </w:r>
      <w:r w:rsidR="00391D9B" w:rsidRPr="00007146">
        <w:rPr>
          <w:rFonts w:cstheme="minorHAnsi"/>
          <w:color w:val="000000" w:themeColor="text1"/>
        </w:rPr>
        <w:t xml:space="preserve"> unless in exceptional circumstances and with prior agreement </w:t>
      </w:r>
      <w:r w:rsidR="006272D1">
        <w:rPr>
          <w:rFonts w:cstheme="minorHAnsi"/>
          <w:color w:val="000000" w:themeColor="text1"/>
        </w:rPr>
        <w:t>from</w:t>
      </w:r>
      <w:r w:rsidR="00391D9B" w:rsidRPr="00007146">
        <w:rPr>
          <w:rFonts w:cstheme="minorHAnsi"/>
          <w:color w:val="000000" w:themeColor="text1"/>
        </w:rPr>
        <w:t xml:space="preserve"> the Board. </w:t>
      </w:r>
      <w:r w:rsidR="00677715" w:rsidRPr="00007146">
        <w:rPr>
          <w:rFonts w:cstheme="minorHAnsi"/>
          <w:color w:val="000000" w:themeColor="text1"/>
        </w:rPr>
        <w:t xml:space="preserve"> </w:t>
      </w:r>
      <w:r w:rsidR="00391D9B" w:rsidRPr="00007146">
        <w:rPr>
          <w:rFonts w:cstheme="minorHAnsi"/>
          <w:color w:val="000000" w:themeColor="text1"/>
        </w:rPr>
        <w:t xml:space="preserve">A </w:t>
      </w:r>
      <w:r w:rsidR="00677715" w:rsidRPr="00007146">
        <w:rPr>
          <w:rFonts w:cstheme="minorHAnsi"/>
          <w:color w:val="000000" w:themeColor="text1"/>
        </w:rPr>
        <w:t>Trustee who retires from the Board after a period of nine years is ineligible for re-appointment for a period of four years, after this time, should they successfully be re-appointed as a Trustee, their years of service will commence again at zero.</w:t>
      </w:r>
      <w:r w:rsidR="00627622">
        <w:rPr>
          <w:rFonts w:cstheme="minorHAnsi"/>
          <w:color w:val="000000" w:themeColor="text1"/>
        </w:rPr>
        <w:t xml:space="preserve"> </w:t>
      </w:r>
      <w:r w:rsidR="0088746E" w:rsidRPr="00007146">
        <w:rPr>
          <w:rFonts w:cstheme="minorHAnsi"/>
          <w:color w:val="000000" w:themeColor="text1"/>
        </w:rPr>
        <w:t xml:space="preserve">Membership changes for the year </w:t>
      </w:r>
      <w:r w:rsidR="005A5F9B" w:rsidRPr="00007146">
        <w:rPr>
          <w:rFonts w:cstheme="minorHAnsi"/>
          <w:color w:val="000000" w:themeColor="text1"/>
        </w:rPr>
        <w:t xml:space="preserve">April </w:t>
      </w:r>
      <w:r w:rsidR="0088746E" w:rsidRPr="00007146">
        <w:rPr>
          <w:rFonts w:cstheme="minorHAnsi"/>
          <w:color w:val="000000" w:themeColor="text1"/>
        </w:rPr>
        <w:t>20</w:t>
      </w:r>
      <w:r w:rsidR="005B2C55" w:rsidRPr="00007146">
        <w:rPr>
          <w:rFonts w:cstheme="minorHAnsi"/>
          <w:color w:val="000000" w:themeColor="text1"/>
        </w:rPr>
        <w:t>20</w:t>
      </w:r>
      <w:r w:rsidR="005A5F9B" w:rsidRPr="00007146">
        <w:rPr>
          <w:rFonts w:cstheme="minorHAnsi"/>
          <w:color w:val="000000" w:themeColor="text1"/>
        </w:rPr>
        <w:t xml:space="preserve"> </w:t>
      </w:r>
      <w:r w:rsidR="0088746E" w:rsidRPr="00007146">
        <w:rPr>
          <w:rFonts w:cstheme="minorHAnsi"/>
          <w:color w:val="000000" w:themeColor="text1"/>
        </w:rPr>
        <w:t>-</w:t>
      </w:r>
      <w:r w:rsidR="005A5F9B" w:rsidRPr="00007146">
        <w:rPr>
          <w:rFonts w:cstheme="minorHAnsi"/>
          <w:color w:val="000000" w:themeColor="text1"/>
        </w:rPr>
        <w:t xml:space="preserve"> March </w:t>
      </w:r>
      <w:r w:rsidR="0088746E" w:rsidRPr="00007146">
        <w:rPr>
          <w:rFonts w:cstheme="minorHAnsi"/>
          <w:color w:val="000000" w:themeColor="text1"/>
        </w:rPr>
        <w:t>202</w:t>
      </w:r>
      <w:r w:rsidR="005B2C55" w:rsidRPr="00007146">
        <w:rPr>
          <w:rFonts w:cstheme="minorHAnsi"/>
          <w:color w:val="000000" w:themeColor="text1"/>
        </w:rPr>
        <w:t>1</w:t>
      </w:r>
      <w:r w:rsidR="0088746E" w:rsidRPr="00007146">
        <w:rPr>
          <w:rFonts w:cstheme="minorHAnsi"/>
          <w:color w:val="000000" w:themeColor="text1"/>
        </w:rPr>
        <w:t xml:space="preserve">, are as follows: </w:t>
      </w:r>
      <w:r w:rsidR="005B2C55" w:rsidRPr="00007146">
        <w:rPr>
          <w:rFonts w:cstheme="minorHAnsi"/>
          <w:color w:val="000000" w:themeColor="text1"/>
        </w:rPr>
        <w:t>in November 2020 three new Board members joined the Board. Alice Cline, Caitlin Dalton and Lauren Cairns were appointed for an initial three year period.</w:t>
      </w:r>
    </w:p>
    <w:p w14:paraId="36C15AEF" w14:textId="555E0F12" w:rsidR="00410187" w:rsidRPr="00007146" w:rsidRDefault="00124E51" w:rsidP="00DE1DA3">
      <w:pPr>
        <w:spacing w:after="0"/>
        <w:rPr>
          <w:rFonts w:cstheme="minorHAnsi"/>
          <w:b/>
        </w:rPr>
      </w:pPr>
      <w:r w:rsidRPr="00007146">
        <w:rPr>
          <w:rFonts w:cstheme="minorHAnsi"/>
          <w:b/>
        </w:rPr>
        <w:t>5.0</w:t>
      </w:r>
      <w:r w:rsidR="00664F77" w:rsidRPr="00007146">
        <w:rPr>
          <w:rFonts w:cstheme="minorHAnsi"/>
          <w:b/>
        </w:rPr>
        <w:t xml:space="preserve"> </w:t>
      </w:r>
      <w:r w:rsidR="00434FBA" w:rsidRPr="00007146">
        <w:rPr>
          <w:rFonts w:cstheme="minorHAnsi"/>
          <w:b/>
        </w:rPr>
        <w:t>Board d</w:t>
      </w:r>
      <w:r w:rsidR="001C211D" w:rsidRPr="00007146">
        <w:rPr>
          <w:rFonts w:cstheme="minorHAnsi"/>
          <w:b/>
        </w:rPr>
        <w:t>iversit</w:t>
      </w:r>
      <w:r w:rsidR="00C42C26" w:rsidRPr="00007146">
        <w:rPr>
          <w:rFonts w:cstheme="minorHAnsi"/>
          <w:b/>
        </w:rPr>
        <w:t>y</w:t>
      </w:r>
    </w:p>
    <w:p w14:paraId="58C5CB91" w14:textId="29565201" w:rsidR="00202DC9" w:rsidRPr="00007146" w:rsidRDefault="00F55CDC" w:rsidP="00DE1DA3">
      <w:pPr>
        <w:spacing w:after="0"/>
        <w:rPr>
          <w:rFonts w:cstheme="minorHAnsi"/>
          <w:color w:val="000000" w:themeColor="text1"/>
        </w:rPr>
      </w:pPr>
      <w:r>
        <w:rPr>
          <w:rFonts w:cstheme="minorHAnsi"/>
          <w:color w:val="000000" w:themeColor="text1"/>
        </w:rPr>
        <w:t>Throughout</w:t>
      </w:r>
      <w:r w:rsidR="00595B59" w:rsidRPr="00007146">
        <w:rPr>
          <w:rFonts w:cstheme="minorHAnsi"/>
          <w:color w:val="000000" w:themeColor="text1"/>
        </w:rPr>
        <w:t xml:space="preserve"> </w:t>
      </w:r>
      <w:r>
        <w:rPr>
          <w:rFonts w:cstheme="minorHAnsi"/>
          <w:color w:val="000000" w:themeColor="text1"/>
        </w:rPr>
        <w:t xml:space="preserve">the year </w:t>
      </w:r>
      <w:r w:rsidR="00A33512" w:rsidRPr="00007146">
        <w:rPr>
          <w:rFonts w:cstheme="minorHAnsi"/>
          <w:color w:val="000000" w:themeColor="text1"/>
        </w:rPr>
        <w:t xml:space="preserve">work took place to deliver the actions identified in Active Gloucestershire’s Diversity Action Plan. </w:t>
      </w:r>
      <w:r w:rsidR="00236616" w:rsidRPr="00007146">
        <w:rPr>
          <w:rFonts w:cstheme="minorHAnsi"/>
          <w:color w:val="000000" w:themeColor="text1"/>
        </w:rPr>
        <w:t>T</w:t>
      </w:r>
      <w:r w:rsidR="00202DC9" w:rsidRPr="00007146">
        <w:rPr>
          <w:rFonts w:cstheme="minorHAnsi"/>
          <w:color w:val="000000" w:themeColor="text1"/>
        </w:rPr>
        <w:t>rustee recruitment specifically targeted younger people who were under represented on the Active Gloucestershire Board. Following a successful recruitment campaign</w:t>
      </w:r>
      <w:r w:rsidR="0090432C" w:rsidRPr="00007146">
        <w:rPr>
          <w:rFonts w:cstheme="minorHAnsi"/>
          <w:color w:val="000000" w:themeColor="text1"/>
        </w:rPr>
        <w:t>,</w:t>
      </w:r>
      <w:r w:rsidR="00202DC9" w:rsidRPr="00007146">
        <w:rPr>
          <w:rFonts w:cstheme="minorHAnsi"/>
          <w:color w:val="000000" w:themeColor="text1"/>
        </w:rPr>
        <w:t xml:space="preserve"> and with the support of the Young Trustee Movement</w:t>
      </w:r>
      <w:r w:rsidR="0090432C" w:rsidRPr="00007146">
        <w:rPr>
          <w:rFonts w:cstheme="minorHAnsi"/>
          <w:color w:val="000000" w:themeColor="text1"/>
        </w:rPr>
        <w:t>,</w:t>
      </w:r>
      <w:r w:rsidR="00202DC9" w:rsidRPr="00007146">
        <w:rPr>
          <w:rFonts w:cstheme="minorHAnsi"/>
          <w:color w:val="000000" w:themeColor="text1"/>
        </w:rPr>
        <w:t xml:space="preserve"> three new trustees were appointed to the Board in November 2020.</w:t>
      </w:r>
    </w:p>
    <w:p w14:paraId="62041CD9" w14:textId="52D39636" w:rsidR="00595B59" w:rsidRPr="00007146" w:rsidRDefault="00595B59" w:rsidP="008321C0">
      <w:pPr>
        <w:spacing w:after="0"/>
        <w:rPr>
          <w:rFonts w:cstheme="minorHAnsi"/>
          <w:color w:val="2F5496" w:themeColor="accent5" w:themeShade="BF"/>
        </w:rPr>
      </w:pPr>
    </w:p>
    <w:p w14:paraId="03C7582A" w14:textId="7AB5B399" w:rsidR="008321C0" w:rsidRPr="00007146" w:rsidRDefault="008321C0" w:rsidP="00122980">
      <w:pPr>
        <w:spacing w:after="0"/>
        <w:rPr>
          <w:rFonts w:cstheme="minorHAnsi"/>
        </w:rPr>
      </w:pPr>
      <w:r w:rsidRPr="00007146">
        <w:rPr>
          <w:rFonts w:cstheme="minorHAnsi"/>
        </w:rPr>
        <w:t xml:space="preserve">In </w:t>
      </w:r>
      <w:r w:rsidR="003E66F3" w:rsidRPr="00007146">
        <w:rPr>
          <w:rFonts w:cstheme="minorHAnsi"/>
        </w:rPr>
        <w:t>early</w:t>
      </w:r>
      <w:r w:rsidRPr="00007146">
        <w:rPr>
          <w:rFonts w:cstheme="minorHAnsi"/>
        </w:rPr>
        <w:t xml:space="preserve"> </w:t>
      </w:r>
      <w:r w:rsidR="00AD6665" w:rsidRPr="00007146">
        <w:rPr>
          <w:rFonts w:cstheme="minorHAnsi"/>
        </w:rPr>
        <w:t>2021</w:t>
      </w:r>
      <w:r w:rsidRPr="00007146">
        <w:rPr>
          <w:rFonts w:cstheme="minorHAnsi"/>
        </w:rPr>
        <w:t>, Active Gloucestershire review</w:t>
      </w:r>
      <w:r w:rsidR="003E66F3" w:rsidRPr="00007146">
        <w:rPr>
          <w:rFonts w:cstheme="minorHAnsi"/>
        </w:rPr>
        <w:t xml:space="preserve">ed </w:t>
      </w:r>
      <w:r w:rsidRPr="00007146">
        <w:rPr>
          <w:rFonts w:cstheme="minorHAnsi"/>
        </w:rPr>
        <w:t>its</w:t>
      </w:r>
      <w:r w:rsidR="00AD6665" w:rsidRPr="00007146">
        <w:rPr>
          <w:rFonts w:cstheme="minorHAnsi"/>
        </w:rPr>
        <w:t xml:space="preserve"> Boards </w:t>
      </w:r>
      <w:r w:rsidRPr="00007146">
        <w:rPr>
          <w:rFonts w:cstheme="minorHAnsi"/>
        </w:rPr>
        <w:t>diversity</w:t>
      </w:r>
      <w:r w:rsidR="003E66F3" w:rsidRPr="00007146">
        <w:rPr>
          <w:rFonts w:cstheme="minorHAnsi"/>
        </w:rPr>
        <w:t>,</w:t>
      </w:r>
      <w:r w:rsidR="00AD6665" w:rsidRPr="00007146">
        <w:rPr>
          <w:rFonts w:cstheme="minorHAnsi"/>
        </w:rPr>
        <w:t xml:space="preserve"> with eight of the nine Board members responding</w:t>
      </w:r>
      <w:r w:rsidR="003E66F3" w:rsidRPr="00007146">
        <w:rPr>
          <w:rFonts w:cstheme="minorHAnsi"/>
        </w:rPr>
        <w:t xml:space="preserve"> to a survey</w:t>
      </w:r>
      <w:r w:rsidR="00AD6665" w:rsidRPr="00007146">
        <w:rPr>
          <w:rFonts w:cstheme="minorHAnsi"/>
        </w:rPr>
        <w:t xml:space="preserve">. </w:t>
      </w:r>
      <w:r w:rsidRPr="00007146">
        <w:rPr>
          <w:rFonts w:cstheme="minorHAnsi"/>
        </w:rPr>
        <w:t xml:space="preserve">The results showed that the diversity of the Board broadly reflects that of the county or higher when considering gender, sexual orientation and those from Black, Asian and </w:t>
      </w:r>
      <w:r w:rsidR="006F7DA5" w:rsidRPr="00007146">
        <w:rPr>
          <w:rFonts w:cstheme="minorHAnsi"/>
        </w:rPr>
        <w:t>m</w:t>
      </w:r>
      <w:r w:rsidRPr="00007146">
        <w:rPr>
          <w:rFonts w:cstheme="minorHAnsi"/>
        </w:rPr>
        <w:t xml:space="preserve">inority </w:t>
      </w:r>
      <w:r w:rsidR="006F7DA5" w:rsidRPr="00007146">
        <w:rPr>
          <w:rFonts w:cstheme="minorHAnsi"/>
        </w:rPr>
        <w:t>e</w:t>
      </w:r>
      <w:r w:rsidRPr="00007146">
        <w:rPr>
          <w:rFonts w:cstheme="minorHAnsi"/>
        </w:rPr>
        <w:t xml:space="preserve">thnic </w:t>
      </w:r>
      <w:r w:rsidR="00FC78BE" w:rsidRPr="00007146">
        <w:rPr>
          <w:rFonts w:cstheme="minorHAnsi"/>
        </w:rPr>
        <w:t>groups</w:t>
      </w:r>
      <w:r w:rsidR="00965A56" w:rsidRPr="00007146">
        <w:rPr>
          <w:rFonts w:cstheme="minorHAnsi"/>
        </w:rPr>
        <w:t xml:space="preserve">. </w:t>
      </w:r>
      <w:r w:rsidR="00F55CDC">
        <w:rPr>
          <w:rFonts w:cstheme="minorHAnsi"/>
        </w:rPr>
        <w:t xml:space="preserve">The survey identified </w:t>
      </w:r>
      <w:r w:rsidR="00AD6665" w:rsidRPr="00007146">
        <w:rPr>
          <w:rFonts w:cstheme="minorHAnsi"/>
        </w:rPr>
        <w:t>four</w:t>
      </w:r>
      <w:r w:rsidR="005A5F9B" w:rsidRPr="00007146">
        <w:rPr>
          <w:rFonts w:cstheme="minorHAnsi"/>
        </w:rPr>
        <w:t xml:space="preserve"> </w:t>
      </w:r>
      <w:r w:rsidR="0088746E" w:rsidRPr="00007146">
        <w:rPr>
          <w:rFonts w:cstheme="minorHAnsi"/>
        </w:rPr>
        <w:t>female Trustees, representing</w:t>
      </w:r>
      <w:r w:rsidR="00F55CDC">
        <w:rPr>
          <w:rFonts w:cstheme="minorHAnsi"/>
        </w:rPr>
        <w:t xml:space="preserve"> at least</w:t>
      </w:r>
      <w:r w:rsidR="0088746E" w:rsidRPr="00007146">
        <w:rPr>
          <w:rFonts w:cstheme="minorHAnsi"/>
        </w:rPr>
        <w:t xml:space="preserve"> </w:t>
      </w:r>
      <w:r w:rsidR="00AD6665" w:rsidRPr="00007146">
        <w:rPr>
          <w:rFonts w:cstheme="minorHAnsi"/>
        </w:rPr>
        <w:t>50%</w:t>
      </w:r>
      <w:r w:rsidR="0088746E" w:rsidRPr="00007146">
        <w:rPr>
          <w:rFonts w:cstheme="minorHAnsi"/>
        </w:rPr>
        <w:t xml:space="preserve"> of </w:t>
      </w:r>
      <w:r w:rsidR="00CF3B60" w:rsidRPr="00007146">
        <w:rPr>
          <w:rFonts w:cstheme="minorHAnsi"/>
        </w:rPr>
        <w:t>its</w:t>
      </w:r>
      <w:r w:rsidR="00595B59" w:rsidRPr="00007146">
        <w:rPr>
          <w:rFonts w:cstheme="minorHAnsi"/>
        </w:rPr>
        <w:t xml:space="preserve"> </w:t>
      </w:r>
      <w:r w:rsidR="0088746E" w:rsidRPr="00007146">
        <w:rPr>
          <w:rFonts w:cstheme="minorHAnsi"/>
        </w:rPr>
        <w:t xml:space="preserve">total </w:t>
      </w:r>
      <w:r w:rsidR="00CF3B60" w:rsidRPr="00007146">
        <w:rPr>
          <w:rFonts w:cstheme="minorHAnsi"/>
        </w:rPr>
        <w:t xml:space="preserve">Board </w:t>
      </w:r>
      <w:r w:rsidR="0088746E" w:rsidRPr="00007146">
        <w:rPr>
          <w:rFonts w:cstheme="minorHAnsi"/>
        </w:rPr>
        <w:t xml:space="preserve">membership, a figure that exceeds the Code for Sports Governance’s requirement of a minimum 30% of each gender. In addition, </w:t>
      </w:r>
      <w:r w:rsidR="00617179">
        <w:rPr>
          <w:rFonts w:cstheme="minorHAnsi"/>
        </w:rPr>
        <w:t xml:space="preserve">the survey identified that </w:t>
      </w:r>
      <w:r w:rsidR="00AD6665" w:rsidRPr="00007146">
        <w:rPr>
          <w:rFonts w:cstheme="minorHAnsi"/>
        </w:rPr>
        <w:t>25%</w:t>
      </w:r>
      <w:r w:rsidR="0088746E" w:rsidRPr="00007146">
        <w:rPr>
          <w:rFonts w:cstheme="minorHAnsi"/>
        </w:rPr>
        <w:t xml:space="preserve"> of </w:t>
      </w:r>
      <w:r w:rsidR="007849A6">
        <w:rPr>
          <w:rFonts w:cstheme="minorHAnsi"/>
        </w:rPr>
        <w:t>the</w:t>
      </w:r>
      <w:r w:rsidR="0088746E" w:rsidRPr="00007146">
        <w:rPr>
          <w:rFonts w:cstheme="minorHAnsi"/>
        </w:rPr>
        <w:t xml:space="preserve"> Board are from Black, Asian and minority backgrounds</w:t>
      </w:r>
      <w:r w:rsidR="00236616" w:rsidRPr="00007146">
        <w:rPr>
          <w:rFonts w:cstheme="minorHAnsi"/>
        </w:rPr>
        <w:t>.</w:t>
      </w:r>
    </w:p>
    <w:p w14:paraId="174A7F1B" w14:textId="3C6BD4DE" w:rsidR="00AD6665" w:rsidRPr="00007146" w:rsidRDefault="00AD6665" w:rsidP="00965A56">
      <w:pPr>
        <w:spacing w:after="0"/>
        <w:ind w:left="709"/>
        <w:rPr>
          <w:rFonts w:cstheme="minorHAnsi"/>
        </w:rPr>
      </w:pPr>
    </w:p>
    <w:p w14:paraId="3E9FE85F" w14:textId="34C9BDAE" w:rsidR="00C42C26" w:rsidRPr="00007146" w:rsidRDefault="00124E51" w:rsidP="00122980">
      <w:pPr>
        <w:pStyle w:val="Heading3"/>
        <w:spacing w:before="0"/>
        <w:rPr>
          <w:rFonts w:asciiTheme="minorHAnsi" w:hAnsiTheme="minorHAnsi" w:cstheme="minorHAnsi"/>
          <w:b/>
          <w:color w:val="2F5496" w:themeColor="accent5" w:themeShade="BF"/>
          <w:sz w:val="22"/>
          <w:szCs w:val="22"/>
        </w:rPr>
      </w:pPr>
      <w:r w:rsidRPr="00007146">
        <w:rPr>
          <w:rFonts w:asciiTheme="minorHAnsi" w:hAnsiTheme="minorHAnsi" w:cstheme="minorHAnsi"/>
          <w:b/>
          <w:color w:val="auto"/>
          <w:sz w:val="22"/>
          <w:szCs w:val="22"/>
        </w:rPr>
        <w:t>6.0</w:t>
      </w:r>
      <w:r w:rsidR="00664F77" w:rsidRPr="00007146">
        <w:rPr>
          <w:rFonts w:asciiTheme="minorHAnsi" w:hAnsiTheme="minorHAnsi" w:cstheme="minorHAnsi"/>
          <w:b/>
          <w:color w:val="auto"/>
          <w:sz w:val="22"/>
          <w:szCs w:val="22"/>
        </w:rPr>
        <w:t xml:space="preserve"> </w:t>
      </w:r>
      <w:r w:rsidR="0068758D" w:rsidRPr="00007146">
        <w:rPr>
          <w:rFonts w:asciiTheme="minorHAnsi" w:hAnsiTheme="minorHAnsi" w:cstheme="minorHAnsi"/>
          <w:b/>
          <w:color w:val="auto"/>
          <w:sz w:val="22"/>
          <w:szCs w:val="22"/>
        </w:rPr>
        <w:t xml:space="preserve">Board </w:t>
      </w:r>
      <w:r w:rsidR="00434FBA" w:rsidRPr="00007146">
        <w:rPr>
          <w:rFonts w:asciiTheme="minorHAnsi" w:hAnsiTheme="minorHAnsi" w:cstheme="minorHAnsi"/>
          <w:b/>
          <w:color w:val="auto"/>
          <w:sz w:val="22"/>
          <w:szCs w:val="22"/>
        </w:rPr>
        <w:t>e</w:t>
      </w:r>
      <w:r w:rsidR="001C211D" w:rsidRPr="00007146">
        <w:rPr>
          <w:rFonts w:asciiTheme="minorHAnsi" w:hAnsiTheme="minorHAnsi" w:cstheme="minorHAnsi"/>
          <w:b/>
          <w:color w:val="auto"/>
          <w:sz w:val="22"/>
          <w:szCs w:val="22"/>
        </w:rPr>
        <w:t>valuation</w:t>
      </w:r>
    </w:p>
    <w:p w14:paraId="5D7AE880" w14:textId="589E8053" w:rsidR="00C36381" w:rsidRPr="00007146" w:rsidRDefault="00F513F1" w:rsidP="00122980">
      <w:pPr>
        <w:rPr>
          <w:rFonts w:cstheme="minorHAnsi"/>
        </w:rPr>
      </w:pPr>
      <w:r w:rsidRPr="00007146">
        <w:rPr>
          <w:rFonts w:cstheme="minorHAnsi"/>
        </w:rPr>
        <w:t xml:space="preserve">During the year the Board undertook an internal </w:t>
      </w:r>
      <w:r w:rsidR="00BD4007" w:rsidRPr="00007146">
        <w:rPr>
          <w:rFonts w:cstheme="minorHAnsi"/>
        </w:rPr>
        <w:t xml:space="preserve">effectiveness </w:t>
      </w:r>
      <w:r w:rsidR="004503FB">
        <w:rPr>
          <w:rFonts w:cstheme="minorHAnsi"/>
        </w:rPr>
        <w:t>review</w:t>
      </w:r>
      <w:r w:rsidRPr="00007146">
        <w:rPr>
          <w:rFonts w:cstheme="minorHAnsi"/>
        </w:rPr>
        <w:t xml:space="preserve"> </w:t>
      </w:r>
      <w:r w:rsidR="004503FB">
        <w:rPr>
          <w:rFonts w:cstheme="minorHAnsi"/>
        </w:rPr>
        <w:t xml:space="preserve">building on the </w:t>
      </w:r>
      <w:r w:rsidRPr="00007146">
        <w:rPr>
          <w:rFonts w:cstheme="minorHAnsi"/>
        </w:rPr>
        <w:t xml:space="preserve">external evaluation </w:t>
      </w:r>
      <w:r w:rsidR="003E56F8" w:rsidRPr="00007146">
        <w:rPr>
          <w:rFonts w:cstheme="minorHAnsi"/>
        </w:rPr>
        <w:t>undertaken by Practical Governance</w:t>
      </w:r>
      <w:r w:rsidR="004503FB" w:rsidRPr="004503FB">
        <w:rPr>
          <w:rFonts w:cstheme="minorHAnsi"/>
        </w:rPr>
        <w:t xml:space="preserve"> </w:t>
      </w:r>
      <w:r w:rsidR="004503FB" w:rsidRPr="00007146">
        <w:rPr>
          <w:rFonts w:cstheme="minorHAnsi"/>
        </w:rPr>
        <w:t>in 2019/20</w:t>
      </w:r>
      <w:r w:rsidR="003E56F8" w:rsidRPr="00007146">
        <w:rPr>
          <w:rFonts w:cstheme="minorHAnsi"/>
        </w:rPr>
        <w:t xml:space="preserve">. </w:t>
      </w:r>
      <w:r w:rsidR="000B603E" w:rsidRPr="00007146">
        <w:rPr>
          <w:rFonts w:cstheme="minorHAnsi"/>
        </w:rPr>
        <w:t xml:space="preserve">The internal </w:t>
      </w:r>
      <w:r w:rsidR="004503FB">
        <w:rPr>
          <w:rFonts w:cstheme="minorHAnsi"/>
        </w:rPr>
        <w:t>review</w:t>
      </w:r>
      <w:r w:rsidR="000B603E" w:rsidRPr="00007146">
        <w:rPr>
          <w:rFonts w:cstheme="minorHAnsi"/>
        </w:rPr>
        <w:t xml:space="preserve"> identified </w:t>
      </w:r>
      <w:r w:rsidR="00A41E4E" w:rsidRPr="00007146">
        <w:rPr>
          <w:rFonts w:cstheme="minorHAnsi"/>
        </w:rPr>
        <w:t>numerous strengths and some areas for improvement</w:t>
      </w:r>
      <w:r w:rsidR="004503FB">
        <w:rPr>
          <w:rFonts w:cstheme="minorHAnsi"/>
        </w:rPr>
        <w:t>,</w:t>
      </w:r>
      <w:r w:rsidR="00A41E4E" w:rsidRPr="00007146">
        <w:rPr>
          <w:rFonts w:cstheme="minorHAnsi"/>
        </w:rPr>
        <w:t xml:space="preserve"> which are being actioned by the Board.</w:t>
      </w:r>
    </w:p>
    <w:p w14:paraId="3AC97D55" w14:textId="1107F8DF" w:rsidR="00FE1F36" w:rsidRPr="00007146" w:rsidRDefault="00124E51" w:rsidP="00122980">
      <w:pPr>
        <w:pStyle w:val="Heading3"/>
        <w:tabs>
          <w:tab w:val="left" w:pos="709"/>
        </w:tabs>
        <w:spacing w:before="0"/>
        <w:rPr>
          <w:rFonts w:asciiTheme="minorHAnsi" w:hAnsiTheme="minorHAnsi" w:cstheme="minorHAnsi"/>
          <w:b/>
          <w:color w:val="auto"/>
          <w:sz w:val="22"/>
          <w:szCs w:val="22"/>
        </w:rPr>
      </w:pPr>
      <w:r w:rsidRPr="00007146">
        <w:rPr>
          <w:rFonts w:asciiTheme="minorHAnsi" w:hAnsiTheme="minorHAnsi" w:cstheme="minorHAnsi"/>
          <w:b/>
          <w:color w:val="auto"/>
          <w:sz w:val="22"/>
          <w:szCs w:val="22"/>
        </w:rPr>
        <w:lastRenderedPageBreak/>
        <w:t>7.0</w:t>
      </w:r>
      <w:r w:rsidR="00664F77" w:rsidRPr="00007146">
        <w:rPr>
          <w:rFonts w:asciiTheme="minorHAnsi" w:hAnsiTheme="minorHAnsi" w:cstheme="minorHAnsi"/>
          <w:b/>
          <w:color w:val="auto"/>
          <w:sz w:val="22"/>
          <w:szCs w:val="22"/>
        </w:rPr>
        <w:t xml:space="preserve"> </w:t>
      </w:r>
      <w:r w:rsidR="00434FBA" w:rsidRPr="00007146">
        <w:rPr>
          <w:rFonts w:asciiTheme="minorHAnsi" w:hAnsiTheme="minorHAnsi" w:cstheme="minorHAnsi"/>
          <w:b/>
          <w:color w:val="auto"/>
          <w:sz w:val="22"/>
          <w:szCs w:val="22"/>
        </w:rPr>
        <w:t>Board c</w:t>
      </w:r>
      <w:r w:rsidR="00135179" w:rsidRPr="00007146">
        <w:rPr>
          <w:rFonts w:asciiTheme="minorHAnsi" w:hAnsiTheme="minorHAnsi" w:cstheme="minorHAnsi"/>
          <w:b/>
          <w:color w:val="auto"/>
          <w:sz w:val="22"/>
          <w:szCs w:val="22"/>
        </w:rPr>
        <w:t>ommittees</w:t>
      </w:r>
    </w:p>
    <w:p w14:paraId="5EDA063C" w14:textId="19F79A0B" w:rsidR="00CA098F" w:rsidRPr="00A01B9D" w:rsidRDefault="00124E51" w:rsidP="005553A5">
      <w:pPr>
        <w:autoSpaceDE w:val="0"/>
        <w:autoSpaceDN w:val="0"/>
        <w:adjustRightInd w:val="0"/>
        <w:spacing w:after="0" w:line="240" w:lineRule="auto"/>
        <w:rPr>
          <w:rFonts w:cstheme="minorHAnsi"/>
          <w:b/>
          <w:color w:val="2F5496" w:themeColor="accent5" w:themeShade="BF"/>
          <w:u w:val="single"/>
        </w:rPr>
      </w:pPr>
      <w:r w:rsidRPr="00007146">
        <w:rPr>
          <w:rFonts w:cstheme="minorHAnsi"/>
          <w:b/>
          <w:i/>
          <w:iCs/>
        </w:rPr>
        <w:t xml:space="preserve">7.1 </w:t>
      </w:r>
      <w:r w:rsidR="00CA098F" w:rsidRPr="006E1A66">
        <w:rPr>
          <w:rFonts w:cstheme="minorHAnsi"/>
          <w:bCs/>
          <w:u w:val="single"/>
        </w:rPr>
        <w:t>F</w:t>
      </w:r>
      <w:r w:rsidR="005367CB" w:rsidRPr="006E1A66">
        <w:rPr>
          <w:rFonts w:cstheme="minorHAnsi"/>
          <w:bCs/>
          <w:u w:val="single"/>
        </w:rPr>
        <w:t>inance and Resource</w:t>
      </w:r>
      <w:r w:rsidR="00CA098F" w:rsidRPr="006E1A66">
        <w:rPr>
          <w:rFonts w:cstheme="minorHAnsi"/>
          <w:bCs/>
          <w:u w:val="single"/>
        </w:rPr>
        <w:t xml:space="preserve"> </w:t>
      </w:r>
      <w:r w:rsidR="005367CB" w:rsidRPr="006E1A66">
        <w:rPr>
          <w:rFonts w:cstheme="minorHAnsi"/>
          <w:bCs/>
          <w:u w:val="single"/>
        </w:rPr>
        <w:t>C</w:t>
      </w:r>
      <w:r w:rsidR="00CA098F" w:rsidRPr="006E1A66">
        <w:rPr>
          <w:rFonts w:cstheme="minorHAnsi"/>
          <w:bCs/>
          <w:u w:val="single"/>
        </w:rPr>
        <w:t>ommittee</w:t>
      </w:r>
    </w:p>
    <w:p w14:paraId="6D2E1C43" w14:textId="4370FD93" w:rsidR="008B13DD" w:rsidRPr="00007146" w:rsidRDefault="00135179" w:rsidP="005553A5">
      <w:pPr>
        <w:autoSpaceDE w:val="0"/>
        <w:autoSpaceDN w:val="0"/>
        <w:adjustRightInd w:val="0"/>
        <w:spacing w:after="32" w:line="240" w:lineRule="auto"/>
        <w:rPr>
          <w:rFonts w:cstheme="minorHAnsi"/>
        </w:rPr>
      </w:pPr>
      <w:r w:rsidRPr="00007146">
        <w:rPr>
          <w:rFonts w:cstheme="minorHAnsi"/>
        </w:rPr>
        <w:t>The Board has a Finance and Resource Committee</w:t>
      </w:r>
      <w:r w:rsidR="00230197" w:rsidRPr="00007146">
        <w:rPr>
          <w:rFonts w:cstheme="minorHAnsi"/>
        </w:rPr>
        <w:t xml:space="preserve"> (FRC)</w:t>
      </w:r>
      <w:r w:rsidRPr="00007146">
        <w:rPr>
          <w:rFonts w:cstheme="minorHAnsi"/>
        </w:rPr>
        <w:t xml:space="preserve"> which meets </w:t>
      </w:r>
      <w:r w:rsidR="00230197" w:rsidRPr="00007146">
        <w:rPr>
          <w:rFonts w:cstheme="minorHAnsi"/>
        </w:rPr>
        <w:t>at least five times a year</w:t>
      </w:r>
      <w:r w:rsidR="006E7179" w:rsidRPr="00007146">
        <w:rPr>
          <w:rFonts w:cstheme="minorHAnsi"/>
        </w:rPr>
        <w:t xml:space="preserve">. Its responsibilities include: </w:t>
      </w:r>
    </w:p>
    <w:p w14:paraId="5D87CEA7" w14:textId="77777777" w:rsidR="006E7179" w:rsidRPr="00007146" w:rsidRDefault="006E7179" w:rsidP="00B05E68">
      <w:pPr>
        <w:pStyle w:val="ListParagraph"/>
        <w:numPr>
          <w:ilvl w:val="0"/>
          <w:numId w:val="72"/>
        </w:numPr>
        <w:autoSpaceDE w:val="0"/>
        <w:autoSpaceDN w:val="0"/>
        <w:adjustRightInd w:val="0"/>
        <w:spacing w:after="32" w:line="240" w:lineRule="auto"/>
        <w:rPr>
          <w:rFonts w:cstheme="minorHAnsi"/>
          <w:iCs/>
        </w:rPr>
      </w:pPr>
      <w:r w:rsidRPr="00007146">
        <w:rPr>
          <w:rFonts w:cstheme="minorHAnsi"/>
          <w:iCs/>
        </w:rPr>
        <w:t>Finance</w:t>
      </w:r>
    </w:p>
    <w:p w14:paraId="617C14EA" w14:textId="77777777" w:rsidR="006E7179" w:rsidRPr="00007146" w:rsidRDefault="006E7179" w:rsidP="00B05E68">
      <w:pPr>
        <w:pStyle w:val="ListParagraph"/>
        <w:numPr>
          <w:ilvl w:val="0"/>
          <w:numId w:val="72"/>
        </w:numPr>
        <w:autoSpaceDE w:val="0"/>
        <w:autoSpaceDN w:val="0"/>
        <w:adjustRightInd w:val="0"/>
        <w:spacing w:after="32" w:line="240" w:lineRule="auto"/>
        <w:rPr>
          <w:rFonts w:cstheme="minorHAnsi"/>
          <w:iCs/>
        </w:rPr>
      </w:pPr>
      <w:r w:rsidRPr="00007146">
        <w:rPr>
          <w:rFonts w:cstheme="minorHAnsi"/>
          <w:iCs/>
        </w:rPr>
        <w:t>Audit</w:t>
      </w:r>
    </w:p>
    <w:p w14:paraId="1D90C5A9" w14:textId="77777777" w:rsidR="00B527D5" w:rsidRPr="00007146" w:rsidRDefault="00B527D5" w:rsidP="00B05E68">
      <w:pPr>
        <w:pStyle w:val="ListParagraph"/>
        <w:numPr>
          <w:ilvl w:val="0"/>
          <w:numId w:val="72"/>
        </w:numPr>
        <w:autoSpaceDE w:val="0"/>
        <w:autoSpaceDN w:val="0"/>
        <w:adjustRightInd w:val="0"/>
        <w:spacing w:after="32" w:line="240" w:lineRule="auto"/>
        <w:rPr>
          <w:rFonts w:cstheme="minorHAnsi"/>
          <w:iCs/>
        </w:rPr>
      </w:pPr>
      <w:r w:rsidRPr="00007146">
        <w:rPr>
          <w:rFonts w:cstheme="minorHAnsi"/>
          <w:iCs/>
        </w:rPr>
        <w:t>Human Resources</w:t>
      </w:r>
    </w:p>
    <w:p w14:paraId="5A9DDC72" w14:textId="264A2E88" w:rsidR="00B527D5" w:rsidRPr="00007146" w:rsidRDefault="00B527D5" w:rsidP="00B05E68">
      <w:pPr>
        <w:pStyle w:val="ListParagraph"/>
        <w:numPr>
          <w:ilvl w:val="0"/>
          <w:numId w:val="72"/>
        </w:numPr>
        <w:autoSpaceDE w:val="0"/>
        <w:autoSpaceDN w:val="0"/>
        <w:adjustRightInd w:val="0"/>
        <w:spacing w:after="32" w:line="240" w:lineRule="auto"/>
        <w:rPr>
          <w:rFonts w:cstheme="minorHAnsi"/>
          <w:iCs/>
        </w:rPr>
      </w:pPr>
      <w:r w:rsidRPr="00007146">
        <w:rPr>
          <w:rFonts w:cstheme="minorHAnsi"/>
          <w:iCs/>
        </w:rPr>
        <w:t>Information and Communications Technology (ICT)</w:t>
      </w:r>
      <w:r w:rsidR="00CC1BB5" w:rsidRPr="00007146">
        <w:rPr>
          <w:rFonts w:cstheme="minorHAnsi"/>
          <w:iCs/>
        </w:rPr>
        <w:t>.</w:t>
      </w:r>
    </w:p>
    <w:p w14:paraId="3DBF67EA" w14:textId="77777777" w:rsidR="00C92CB8" w:rsidRPr="00007146" w:rsidRDefault="00C92CB8" w:rsidP="00FE1F36">
      <w:pPr>
        <w:pStyle w:val="ListParagraph"/>
        <w:autoSpaceDE w:val="0"/>
        <w:autoSpaceDN w:val="0"/>
        <w:adjustRightInd w:val="0"/>
        <w:spacing w:after="0"/>
        <w:rPr>
          <w:rFonts w:cstheme="minorHAnsi"/>
          <w:color w:val="2F5496" w:themeColor="accent5" w:themeShade="BF"/>
        </w:rPr>
      </w:pPr>
    </w:p>
    <w:p w14:paraId="18FE4D90" w14:textId="2C1C67C5" w:rsidR="00C943E2" w:rsidRPr="002D4588" w:rsidRDefault="00124E51" w:rsidP="002D4588">
      <w:pPr>
        <w:autoSpaceDE w:val="0"/>
        <w:autoSpaceDN w:val="0"/>
        <w:adjustRightInd w:val="0"/>
        <w:spacing w:after="32"/>
        <w:rPr>
          <w:rFonts w:cstheme="minorHAnsi"/>
        </w:rPr>
      </w:pPr>
      <w:r w:rsidRPr="00007146">
        <w:rPr>
          <w:rFonts w:cstheme="minorHAnsi"/>
        </w:rPr>
        <w:t>During</w:t>
      </w:r>
      <w:r w:rsidR="004E7AFC" w:rsidRPr="00007146">
        <w:rPr>
          <w:rFonts w:cstheme="minorHAnsi"/>
        </w:rPr>
        <w:t xml:space="preserve"> the </w:t>
      </w:r>
      <w:r w:rsidRPr="00007146">
        <w:rPr>
          <w:rFonts w:cstheme="minorHAnsi"/>
        </w:rPr>
        <w:t>20</w:t>
      </w:r>
      <w:r w:rsidR="009166C4" w:rsidRPr="00007146">
        <w:rPr>
          <w:rFonts w:cstheme="minorHAnsi"/>
        </w:rPr>
        <w:t>20</w:t>
      </w:r>
      <w:r w:rsidRPr="00007146">
        <w:rPr>
          <w:rFonts w:cstheme="minorHAnsi"/>
        </w:rPr>
        <w:t>-202</w:t>
      </w:r>
      <w:r w:rsidR="009166C4" w:rsidRPr="00007146">
        <w:rPr>
          <w:rFonts w:cstheme="minorHAnsi"/>
        </w:rPr>
        <w:t>1</w:t>
      </w:r>
      <w:r w:rsidR="004E7AFC" w:rsidRPr="00007146">
        <w:rPr>
          <w:rFonts w:cstheme="minorHAnsi"/>
        </w:rPr>
        <w:t xml:space="preserve"> year</w:t>
      </w:r>
      <w:r w:rsidRPr="00007146">
        <w:rPr>
          <w:rFonts w:cstheme="minorHAnsi"/>
        </w:rPr>
        <w:t xml:space="preserve">, the FRC met </w:t>
      </w:r>
      <w:r w:rsidR="006E7ACA" w:rsidRPr="00007146">
        <w:rPr>
          <w:rFonts w:cstheme="minorHAnsi"/>
        </w:rPr>
        <w:t>five</w:t>
      </w:r>
      <w:r w:rsidRPr="00007146">
        <w:rPr>
          <w:rFonts w:cstheme="minorHAnsi"/>
        </w:rPr>
        <w:t xml:space="preserve"> times</w:t>
      </w:r>
      <w:r w:rsidR="00264F28" w:rsidRPr="00007146">
        <w:rPr>
          <w:rFonts w:cstheme="minorHAnsi"/>
        </w:rPr>
        <w:t xml:space="preserve">. The FRC’s principal areas of focus have been: </w:t>
      </w:r>
    </w:p>
    <w:p w14:paraId="39BE2A06" w14:textId="073F1C2E" w:rsidR="00C943E2" w:rsidRPr="00007146" w:rsidRDefault="00DB6DF7" w:rsidP="00A022CA">
      <w:pPr>
        <w:pStyle w:val="ListParagraph"/>
        <w:numPr>
          <w:ilvl w:val="0"/>
          <w:numId w:val="34"/>
        </w:numPr>
        <w:autoSpaceDE w:val="0"/>
        <w:autoSpaceDN w:val="0"/>
        <w:adjustRightInd w:val="0"/>
        <w:spacing w:after="32" w:line="240" w:lineRule="auto"/>
        <w:ind w:left="1134"/>
        <w:contextualSpacing w:val="0"/>
        <w:rPr>
          <w:rFonts w:cstheme="minorHAnsi"/>
        </w:rPr>
      </w:pPr>
      <w:r w:rsidRPr="00007146">
        <w:rPr>
          <w:rFonts w:eastAsiaTheme="minorHAnsi" w:cstheme="minorHAnsi"/>
          <w:lang w:eastAsia="en-US"/>
        </w:rPr>
        <w:t>R</w:t>
      </w:r>
      <w:r w:rsidR="00C943E2" w:rsidRPr="00007146">
        <w:rPr>
          <w:rFonts w:eastAsiaTheme="minorHAnsi" w:cstheme="minorHAnsi"/>
          <w:lang w:eastAsia="en-US"/>
        </w:rPr>
        <w:t>eview of overhead recovery process</w:t>
      </w:r>
      <w:r w:rsidR="00CC1BB5" w:rsidRPr="00007146">
        <w:rPr>
          <w:rFonts w:eastAsiaTheme="minorHAnsi" w:cstheme="minorHAnsi"/>
          <w:lang w:eastAsia="en-US"/>
        </w:rPr>
        <w:t>.</w:t>
      </w:r>
    </w:p>
    <w:p w14:paraId="1E11C6DD" w14:textId="06E7D766" w:rsidR="00C943E2" w:rsidRPr="00007146" w:rsidRDefault="00DB6DF7" w:rsidP="00A022CA">
      <w:pPr>
        <w:pStyle w:val="ListParagraph"/>
        <w:numPr>
          <w:ilvl w:val="0"/>
          <w:numId w:val="34"/>
        </w:numPr>
        <w:autoSpaceDE w:val="0"/>
        <w:autoSpaceDN w:val="0"/>
        <w:adjustRightInd w:val="0"/>
        <w:spacing w:after="32" w:line="240" w:lineRule="auto"/>
        <w:ind w:left="1134"/>
        <w:contextualSpacing w:val="0"/>
        <w:rPr>
          <w:rFonts w:cstheme="minorHAnsi"/>
        </w:rPr>
      </w:pPr>
      <w:r w:rsidRPr="00007146">
        <w:rPr>
          <w:rFonts w:cstheme="minorHAnsi"/>
        </w:rPr>
        <w:t>R</w:t>
      </w:r>
      <w:r w:rsidR="00C943E2" w:rsidRPr="00007146">
        <w:rPr>
          <w:rFonts w:cstheme="minorHAnsi"/>
        </w:rPr>
        <w:t>eview of financial reporting process</w:t>
      </w:r>
      <w:r w:rsidR="00CC1BB5" w:rsidRPr="00007146">
        <w:rPr>
          <w:rFonts w:cstheme="minorHAnsi"/>
        </w:rPr>
        <w:t>.</w:t>
      </w:r>
    </w:p>
    <w:p w14:paraId="158B4D1A" w14:textId="064313E1" w:rsidR="00C943E2" w:rsidRPr="00007146" w:rsidRDefault="00DB6DF7" w:rsidP="00A022CA">
      <w:pPr>
        <w:pStyle w:val="ListParagraph"/>
        <w:numPr>
          <w:ilvl w:val="0"/>
          <w:numId w:val="34"/>
        </w:numPr>
        <w:autoSpaceDE w:val="0"/>
        <w:autoSpaceDN w:val="0"/>
        <w:adjustRightInd w:val="0"/>
        <w:spacing w:after="32" w:line="240" w:lineRule="auto"/>
        <w:ind w:left="1134"/>
        <w:contextualSpacing w:val="0"/>
        <w:rPr>
          <w:rFonts w:cstheme="minorHAnsi"/>
        </w:rPr>
      </w:pPr>
      <w:r w:rsidRPr="00007146">
        <w:rPr>
          <w:rFonts w:cstheme="minorHAnsi"/>
        </w:rPr>
        <w:t>R</w:t>
      </w:r>
      <w:r w:rsidR="00C943E2" w:rsidRPr="00007146">
        <w:rPr>
          <w:rFonts w:cstheme="minorHAnsi"/>
        </w:rPr>
        <w:t>eview of financial report, management accounts and the budget for 20</w:t>
      </w:r>
      <w:r w:rsidR="00FC7E59" w:rsidRPr="00007146">
        <w:rPr>
          <w:rFonts w:cstheme="minorHAnsi"/>
        </w:rPr>
        <w:t>2</w:t>
      </w:r>
      <w:r w:rsidR="009166C4" w:rsidRPr="00007146">
        <w:rPr>
          <w:rFonts w:cstheme="minorHAnsi"/>
        </w:rPr>
        <w:t>1</w:t>
      </w:r>
      <w:r w:rsidR="00C943E2" w:rsidRPr="00007146">
        <w:rPr>
          <w:rFonts w:cstheme="minorHAnsi"/>
        </w:rPr>
        <w:t>-2</w:t>
      </w:r>
      <w:r w:rsidR="009166C4" w:rsidRPr="00007146">
        <w:rPr>
          <w:rFonts w:cstheme="minorHAnsi"/>
        </w:rPr>
        <w:t>2</w:t>
      </w:r>
      <w:r w:rsidR="00CC1BB5" w:rsidRPr="00007146">
        <w:rPr>
          <w:rFonts w:cstheme="minorHAnsi"/>
        </w:rPr>
        <w:t>.</w:t>
      </w:r>
    </w:p>
    <w:p w14:paraId="68FE51A7" w14:textId="4C61FE9F" w:rsidR="00C943E2" w:rsidRPr="00007146" w:rsidRDefault="00DB6DF7" w:rsidP="00A022CA">
      <w:pPr>
        <w:pStyle w:val="ListParagraph"/>
        <w:numPr>
          <w:ilvl w:val="0"/>
          <w:numId w:val="34"/>
        </w:numPr>
        <w:autoSpaceDE w:val="0"/>
        <w:autoSpaceDN w:val="0"/>
        <w:adjustRightInd w:val="0"/>
        <w:spacing w:after="32" w:line="240" w:lineRule="auto"/>
        <w:ind w:left="1134"/>
        <w:contextualSpacing w:val="0"/>
        <w:rPr>
          <w:rFonts w:cstheme="minorHAnsi"/>
        </w:rPr>
      </w:pPr>
      <w:r w:rsidRPr="00007146">
        <w:rPr>
          <w:rFonts w:cstheme="minorHAnsi"/>
        </w:rPr>
        <w:t>R</w:t>
      </w:r>
      <w:r w:rsidR="00C943E2" w:rsidRPr="00007146">
        <w:rPr>
          <w:rFonts w:cstheme="minorHAnsi"/>
        </w:rPr>
        <w:t>eview and feedback on the reserves policy</w:t>
      </w:r>
      <w:r w:rsidR="00107A6E">
        <w:rPr>
          <w:rFonts w:cstheme="minorHAnsi"/>
        </w:rPr>
        <w:t>.</w:t>
      </w:r>
    </w:p>
    <w:p w14:paraId="18F5969F" w14:textId="73D4F904" w:rsidR="00C943E2" w:rsidRPr="00007146" w:rsidRDefault="00DB6DF7" w:rsidP="00A022CA">
      <w:pPr>
        <w:pStyle w:val="ListParagraph"/>
        <w:numPr>
          <w:ilvl w:val="0"/>
          <w:numId w:val="34"/>
        </w:numPr>
        <w:autoSpaceDE w:val="0"/>
        <w:autoSpaceDN w:val="0"/>
        <w:adjustRightInd w:val="0"/>
        <w:spacing w:after="32" w:line="240" w:lineRule="auto"/>
        <w:ind w:left="1134"/>
        <w:contextualSpacing w:val="0"/>
        <w:rPr>
          <w:rFonts w:cstheme="minorHAnsi"/>
        </w:rPr>
      </w:pPr>
      <w:r w:rsidRPr="00007146">
        <w:rPr>
          <w:rFonts w:cstheme="minorHAnsi"/>
        </w:rPr>
        <w:t>U</w:t>
      </w:r>
      <w:r w:rsidR="00C943E2" w:rsidRPr="00007146">
        <w:rPr>
          <w:rFonts w:cstheme="minorHAnsi"/>
        </w:rPr>
        <w:t>pdating the financial procedures manual</w:t>
      </w:r>
      <w:r w:rsidR="00107A6E">
        <w:rPr>
          <w:rFonts w:cstheme="minorHAnsi"/>
        </w:rPr>
        <w:t>.</w:t>
      </w:r>
    </w:p>
    <w:p w14:paraId="290CDDA6" w14:textId="7B402984" w:rsidR="00C943E2" w:rsidRPr="00007146" w:rsidRDefault="00DB6DF7" w:rsidP="00A022CA">
      <w:pPr>
        <w:pStyle w:val="ListParagraph"/>
        <w:numPr>
          <w:ilvl w:val="0"/>
          <w:numId w:val="34"/>
        </w:numPr>
        <w:autoSpaceDE w:val="0"/>
        <w:autoSpaceDN w:val="0"/>
        <w:adjustRightInd w:val="0"/>
        <w:spacing w:after="32" w:line="240" w:lineRule="auto"/>
        <w:ind w:left="1134"/>
        <w:contextualSpacing w:val="0"/>
        <w:rPr>
          <w:rFonts w:cstheme="minorHAnsi"/>
        </w:rPr>
      </w:pPr>
      <w:r w:rsidRPr="00007146">
        <w:rPr>
          <w:rFonts w:cstheme="minorHAnsi"/>
        </w:rPr>
        <w:t>R</w:t>
      </w:r>
      <w:r w:rsidR="00C943E2" w:rsidRPr="00007146">
        <w:rPr>
          <w:rFonts w:cstheme="minorHAnsi"/>
        </w:rPr>
        <w:t>eview and feedback on HR matters</w:t>
      </w:r>
      <w:r w:rsidR="00D209AB">
        <w:rPr>
          <w:rFonts w:cstheme="minorHAnsi"/>
        </w:rPr>
        <w:t>.</w:t>
      </w:r>
    </w:p>
    <w:p w14:paraId="7C387423" w14:textId="4AFBC7CF" w:rsidR="00C943E2" w:rsidRPr="00007146" w:rsidRDefault="00DB6DF7" w:rsidP="00A022CA">
      <w:pPr>
        <w:pStyle w:val="ListParagraph"/>
        <w:numPr>
          <w:ilvl w:val="0"/>
          <w:numId w:val="34"/>
        </w:numPr>
        <w:autoSpaceDE w:val="0"/>
        <w:autoSpaceDN w:val="0"/>
        <w:adjustRightInd w:val="0"/>
        <w:spacing w:after="32" w:line="240" w:lineRule="auto"/>
        <w:ind w:left="1134"/>
        <w:contextualSpacing w:val="0"/>
        <w:rPr>
          <w:rFonts w:cstheme="minorHAnsi"/>
        </w:rPr>
      </w:pPr>
      <w:r w:rsidRPr="00007146">
        <w:rPr>
          <w:rFonts w:cstheme="minorHAnsi"/>
        </w:rPr>
        <w:t>R</w:t>
      </w:r>
      <w:r w:rsidR="00C943E2" w:rsidRPr="00007146">
        <w:rPr>
          <w:rFonts w:cstheme="minorHAnsi"/>
        </w:rPr>
        <w:t>eview and feedback on the staff satisfaction survey results</w:t>
      </w:r>
      <w:r w:rsidR="003D160C" w:rsidRPr="00007146">
        <w:rPr>
          <w:rFonts w:cstheme="minorHAnsi"/>
        </w:rPr>
        <w:t>.</w:t>
      </w:r>
    </w:p>
    <w:p w14:paraId="382D2312" w14:textId="762820D7" w:rsidR="00391D9B" w:rsidRPr="00007146" w:rsidRDefault="00391D9B" w:rsidP="00A022CA">
      <w:pPr>
        <w:pStyle w:val="ListParagraph"/>
        <w:numPr>
          <w:ilvl w:val="0"/>
          <w:numId w:val="34"/>
        </w:numPr>
        <w:autoSpaceDE w:val="0"/>
        <w:autoSpaceDN w:val="0"/>
        <w:adjustRightInd w:val="0"/>
        <w:spacing w:after="32" w:line="240" w:lineRule="auto"/>
        <w:ind w:left="1134"/>
        <w:contextualSpacing w:val="0"/>
        <w:rPr>
          <w:rFonts w:cstheme="minorHAnsi"/>
        </w:rPr>
      </w:pPr>
      <w:r w:rsidRPr="00007146">
        <w:rPr>
          <w:rFonts w:cstheme="minorHAnsi"/>
        </w:rPr>
        <w:t>IT and Cyber Security</w:t>
      </w:r>
      <w:r w:rsidR="00107A6E">
        <w:rPr>
          <w:rFonts w:cstheme="minorHAnsi"/>
        </w:rPr>
        <w:t>.</w:t>
      </w:r>
    </w:p>
    <w:p w14:paraId="12FD03B8" w14:textId="23D6334E" w:rsidR="006B498B" w:rsidRPr="00007146" w:rsidRDefault="006B498B" w:rsidP="006B498B">
      <w:pPr>
        <w:pStyle w:val="Default"/>
        <w:spacing w:line="276" w:lineRule="auto"/>
        <w:ind w:left="720"/>
        <w:rPr>
          <w:rFonts w:asciiTheme="minorHAnsi" w:hAnsiTheme="minorHAnsi" w:cstheme="minorHAnsi"/>
          <w:color w:val="2F5496" w:themeColor="accent5" w:themeShade="BF"/>
          <w:sz w:val="22"/>
          <w:szCs w:val="22"/>
        </w:rPr>
      </w:pPr>
    </w:p>
    <w:p w14:paraId="0D37F7D3" w14:textId="10B23674" w:rsidR="00556144" w:rsidRPr="006E1A66" w:rsidRDefault="00124E51" w:rsidP="005553A5">
      <w:pPr>
        <w:autoSpaceDE w:val="0"/>
        <w:autoSpaceDN w:val="0"/>
        <w:adjustRightInd w:val="0"/>
        <w:spacing w:after="0"/>
        <w:rPr>
          <w:rFonts w:cstheme="minorHAnsi"/>
          <w:bCs/>
          <w:u w:val="single"/>
        </w:rPr>
      </w:pPr>
      <w:r w:rsidRPr="00007146">
        <w:rPr>
          <w:rFonts w:cstheme="minorHAnsi"/>
          <w:b/>
        </w:rPr>
        <w:t>7.2</w:t>
      </w:r>
      <w:r w:rsidRPr="00007146">
        <w:rPr>
          <w:rFonts w:cstheme="minorHAnsi"/>
          <w:b/>
          <w:i/>
          <w:iCs/>
        </w:rPr>
        <w:t xml:space="preserve"> </w:t>
      </w:r>
      <w:r w:rsidR="00CA098F" w:rsidRPr="006E1A66">
        <w:rPr>
          <w:rFonts w:cstheme="minorHAnsi"/>
          <w:bCs/>
          <w:u w:val="single"/>
        </w:rPr>
        <w:t>Nominations</w:t>
      </w:r>
      <w:r w:rsidR="003E6EA4" w:rsidRPr="006E1A66">
        <w:rPr>
          <w:rFonts w:cstheme="minorHAnsi"/>
          <w:bCs/>
          <w:u w:val="single"/>
        </w:rPr>
        <w:t xml:space="preserve"> and Remunerations</w:t>
      </w:r>
      <w:r w:rsidR="00CA098F" w:rsidRPr="006E1A66">
        <w:rPr>
          <w:rFonts w:cstheme="minorHAnsi"/>
          <w:bCs/>
          <w:u w:val="single"/>
        </w:rPr>
        <w:t xml:space="preserve"> </w:t>
      </w:r>
      <w:r w:rsidR="005367CB" w:rsidRPr="006E1A66">
        <w:rPr>
          <w:rFonts w:cstheme="minorHAnsi"/>
          <w:bCs/>
          <w:u w:val="single"/>
        </w:rPr>
        <w:t>C</w:t>
      </w:r>
      <w:r w:rsidR="00CA098F" w:rsidRPr="006E1A66">
        <w:rPr>
          <w:rFonts w:cstheme="minorHAnsi"/>
          <w:bCs/>
          <w:u w:val="single"/>
        </w:rPr>
        <w:t>ommittee</w:t>
      </w:r>
    </w:p>
    <w:p w14:paraId="4BA729CF" w14:textId="77777777" w:rsidR="00A01B9D" w:rsidRDefault="003E6EA4" w:rsidP="004A2018">
      <w:pPr>
        <w:autoSpaceDE w:val="0"/>
        <w:autoSpaceDN w:val="0"/>
        <w:adjustRightInd w:val="0"/>
        <w:spacing w:after="0" w:line="240" w:lineRule="auto"/>
        <w:rPr>
          <w:rFonts w:cstheme="minorHAnsi"/>
        </w:rPr>
      </w:pPr>
      <w:r w:rsidRPr="00007146">
        <w:rPr>
          <w:rFonts w:cstheme="minorHAnsi"/>
        </w:rPr>
        <w:t>The Nominations and Remunerations Committee</w:t>
      </w:r>
      <w:r w:rsidR="004225CA" w:rsidRPr="00007146">
        <w:rPr>
          <w:rFonts w:cstheme="minorHAnsi"/>
        </w:rPr>
        <w:t xml:space="preserve"> meet</w:t>
      </w:r>
      <w:r w:rsidRPr="00007146">
        <w:rPr>
          <w:rFonts w:cstheme="minorHAnsi"/>
        </w:rPr>
        <w:t>s</w:t>
      </w:r>
      <w:r w:rsidR="004225CA" w:rsidRPr="00007146">
        <w:rPr>
          <w:rFonts w:cstheme="minorHAnsi"/>
        </w:rPr>
        <w:t xml:space="preserve"> </w:t>
      </w:r>
      <w:r w:rsidR="0097018C" w:rsidRPr="00007146">
        <w:rPr>
          <w:rFonts w:cstheme="minorHAnsi"/>
        </w:rPr>
        <w:t>four times</w:t>
      </w:r>
      <w:r w:rsidR="004225CA" w:rsidRPr="00007146">
        <w:rPr>
          <w:rFonts w:cstheme="minorHAnsi"/>
        </w:rPr>
        <w:t xml:space="preserve"> a year and as required. Its main responsibilities include:</w:t>
      </w:r>
    </w:p>
    <w:p w14:paraId="11CF0F01" w14:textId="2C6A6FDD" w:rsidR="00FE1F36" w:rsidRPr="005446BE" w:rsidRDefault="004225CA" w:rsidP="00107A6E">
      <w:pPr>
        <w:pStyle w:val="ListParagraph"/>
        <w:numPr>
          <w:ilvl w:val="0"/>
          <w:numId w:val="74"/>
        </w:numPr>
        <w:autoSpaceDE w:val="0"/>
        <w:autoSpaceDN w:val="0"/>
        <w:adjustRightInd w:val="0"/>
        <w:spacing w:after="0" w:line="240" w:lineRule="auto"/>
        <w:rPr>
          <w:rFonts w:cstheme="minorHAnsi"/>
          <w:iCs/>
        </w:rPr>
      </w:pPr>
      <w:r w:rsidRPr="005446BE">
        <w:rPr>
          <w:rFonts w:cstheme="minorHAnsi"/>
          <w:iCs/>
        </w:rPr>
        <w:t>Trustee recruitment</w:t>
      </w:r>
    </w:p>
    <w:p w14:paraId="009767CA" w14:textId="45D2329A" w:rsidR="00965A56" w:rsidRPr="00007146" w:rsidRDefault="004225CA" w:rsidP="00107A6E">
      <w:pPr>
        <w:pStyle w:val="ListParagraph"/>
        <w:numPr>
          <w:ilvl w:val="0"/>
          <w:numId w:val="73"/>
        </w:numPr>
        <w:autoSpaceDE w:val="0"/>
        <w:autoSpaceDN w:val="0"/>
        <w:adjustRightInd w:val="0"/>
        <w:spacing w:after="0" w:line="240" w:lineRule="auto"/>
        <w:rPr>
          <w:rFonts w:cstheme="minorHAnsi"/>
          <w:iCs/>
        </w:rPr>
      </w:pPr>
      <w:r w:rsidRPr="00007146">
        <w:rPr>
          <w:rFonts w:cstheme="minorHAnsi"/>
          <w:iCs/>
        </w:rPr>
        <w:t>CEO recruitment</w:t>
      </w:r>
    </w:p>
    <w:p w14:paraId="1F58CA77" w14:textId="15448462" w:rsidR="004225CA" w:rsidRPr="00007146" w:rsidRDefault="004225CA" w:rsidP="00107A6E">
      <w:pPr>
        <w:pStyle w:val="ListParagraph"/>
        <w:numPr>
          <w:ilvl w:val="0"/>
          <w:numId w:val="73"/>
        </w:numPr>
        <w:autoSpaceDE w:val="0"/>
        <w:autoSpaceDN w:val="0"/>
        <w:adjustRightInd w:val="0"/>
        <w:spacing w:after="0" w:line="240" w:lineRule="auto"/>
        <w:rPr>
          <w:rFonts w:cstheme="minorHAnsi"/>
          <w:iCs/>
        </w:rPr>
      </w:pPr>
      <w:r w:rsidRPr="00007146">
        <w:rPr>
          <w:rFonts w:cstheme="minorHAnsi"/>
          <w:iCs/>
        </w:rPr>
        <w:t>Board Performance</w:t>
      </w:r>
    </w:p>
    <w:p w14:paraId="3F767BBC" w14:textId="6671F074" w:rsidR="004225CA" w:rsidRDefault="004225CA" w:rsidP="00107A6E">
      <w:pPr>
        <w:pStyle w:val="ListParagraph"/>
        <w:numPr>
          <w:ilvl w:val="0"/>
          <w:numId w:val="73"/>
        </w:numPr>
        <w:autoSpaceDE w:val="0"/>
        <w:autoSpaceDN w:val="0"/>
        <w:adjustRightInd w:val="0"/>
        <w:spacing w:after="0" w:line="240" w:lineRule="auto"/>
        <w:rPr>
          <w:rFonts w:cstheme="minorHAnsi"/>
          <w:iCs/>
        </w:rPr>
      </w:pPr>
      <w:r w:rsidRPr="00007146">
        <w:rPr>
          <w:rFonts w:cstheme="minorHAnsi"/>
          <w:iCs/>
        </w:rPr>
        <w:t>Succession Planning</w:t>
      </w:r>
      <w:r w:rsidR="00107A6E">
        <w:rPr>
          <w:rFonts w:cstheme="minorHAnsi"/>
          <w:iCs/>
        </w:rPr>
        <w:t>.</w:t>
      </w:r>
    </w:p>
    <w:p w14:paraId="22E50A0F" w14:textId="77777777" w:rsidR="005553A5" w:rsidRPr="00007146" w:rsidRDefault="005553A5" w:rsidP="005553A5">
      <w:pPr>
        <w:pStyle w:val="ListParagraph"/>
        <w:autoSpaceDE w:val="0"/>
        <w:autoSpaceDN w:val="0"/>
        <w:adjustRightInd w:val="0"/>
        <w:spacing w:after="0"/>
        <w:ind w:left="1494"/>
        <w:rPr>
          <w:rFonts w:cstheme="minorHAnsi"/>
          <w:iCs/>
        </w:rPr>
      </w:pPr>
    </w:p>
    <w:p w14:paraId="3E5822C0" w14:textId="6D51931F" w:rsidR="005553A5" w:rsidRPr="00007146" w:rsidRDefault="00264F28" w:rsidP="00DB4293">
      <w:pPr>
        <w:autoSpaceDE w:val="0"/>
        <w:autoSpaceDN w:val="0"/>
        <w:adjustRightInd w:val="0"/>
        <w:spacing w:after="0"/>
        <w:rPr>
          <w:rFonts w:cstheme="minorHAnsi"/>
        </w:rPr>
      </w:pPr>
      <w:r w:rsidRPr="00007146">
        <w:rPr>
          <w:rFonts w:cstheme="minorHAnsi"/>
        </w:rPr>
        <w:t xml:space="preserve">During </w:t>
      </w:r>
      <w:r w:rsidR="006143BD" w:rsidRPr="00007146">
        <w:rPr>
          <w:rFonts w:cstheme="minorHAnsi"/>
        </w:rPr>
        <w:t>2020-2021</w:t>
      </w:r>
      <w:r w:rsidRPr="00007146">
        <w:rPr>
          <w:rFonts w:cstheme="minorHAnsi"/>
        </w:rPr>
        <w:t xml:space="preserve">, the NRC met </w:t>
      </w:r>
      <w:r w:rsidR="009D4D2E" w:rsidRPr="00007146">
        <w:rPr>
          <w:rFonts w:cstheme="minorHAnsi"/>
        </w:rPr>
        <w:t>four</w:t>
      </w:r>
      <w:r w:rsidRPr="00007146">
        <w:rPr>
          <w:rFonts w:cstheme="minorHAnsi"/>
        </w:rPr>
        <w:t xml:space="preserve"> times, with records of attendance taken at each meeting. The NRC’s principal areas of focus have been: </w:t>
      </w:r>
    </w:p>
    <w:p w14:paraId="32B3BC7C" w14:textId="24B3F723" w:rsidR="00391D9B" w:rsidRPr="00007146" w:rsidRDefault="00391D9B" w:rsidP="00107A6E">
      <w:pPr>
        <w:pStyle w:val="Default"/>
        <w:numPr>
          <w:ilvl w:val="0"/>
          <w:numId w:val="34"/>
        </w:numPr>
        <w:rPr>
          <w:rFonts w:asciiTheme="minorHAnsi" w:hAnsiTheme="minorHAnsi" w:cstheme="minorHAnsi"/>
          <w:color w:val="auto"/>
          <w:sz w:val="22"/>
          <w:szCs w:val="22"/>
        </w:rPr>
      </w:pPr>
      <w:r w:rsidRPr="00007146">
        <w:rPr>
          <w:rFonts w:asciiTheme="minorHAnsi" w:hAnsiTheme="minorHAnsi" w:cstheme="minorHAnsi"/>
          <w:color w:val="auto"/>
          <w:sz w:val="22"/>
          <w:szCs w:val="22"/>
        </w:rPr>
        <w:t>Recruitment of three new trustees</w:t>
      </w:r>
    </w:p>
    <w:p w14:paraId="271CB0F0" w14:textId="2E949A65" w:rsidR="00391D9B" w:rsidRPr="00007146" w:rsidRDefault="00391D9B" w:rsidP="00107A6E">
      <w:pPr>
        <w:pStyle w:val="Default"/>
        <w:numPr>
          <w:ilvl w:val="0"/>
          <w:numId w:val="34"/>
        </w:numPr>
        <w:rPr>
          <w:rFonts w:asciiTheme="minorHAnsi" w:hAnsiTheme="minorHAnsi" w:cstheme="minorHAnsi"/>
          <w:color w:val="auto"/>
          <w:sz w:val="22"/>
          <w:szCs w:val="22"/>
        </w:rPr>
      </w:pPr>
      <w:r w:rsidRPr="00007146">
        <w:rPr>
          <w:rFonts w:asciiTheme="minorHAnsi" w:hAnsiTheme="minorHAnsi" w:cstheme="minorHAnsi"/>
          <w:color w:val="auto"/>
          <w:sz w:val="22"/>
          <w:szCs w:val="22"/>
        </w:rPr>
        <w:t>CEO induction</w:t>
      </w:r>
    </w:p>
    <w:p w14:paraId="4A6C93E9" w14:textId="6372B94C" w:rsidR="00107A6E" w:rsidRDefault="00391D9B" w:rsidP="00107A6E">
      <w:pPr>
        <w:pStyle w:val="Default"/>
        <w:numPr>
          <w:ilvl w:val="0"/>
          <w:numId w:val="34"/>
        </w:numPr>
        <w:rPr>
          <w:rFonts w:asciiTheme="minorHAnsi" w:hAnsiTheme="minorHAnsi" w:cstheme="minorHAnsi"/>
          <w:color w:val="auto"/>
          <w:sz w:val="22"/>
          <w:szCs w:val="22"/>
        </w:rPr>
      </w:pPr>
      <w:r w:rsidRPr="00007146">
        <w:rPr>
          <w:rFonts w:asciiTheme="minorHAnsi" w:hAnsiTheme="minorHAnsi" w:cstheme="minorHAnsi"/>
          <w:color w:val="auto"/>
          <w:sz w:val="22"/>
          <w:szCs w:val="22"/>
        </w:rPr>
        <w:t>SMT salary review</w:t>
      </w:r>
      <w:r w:rsidR="00107A6E">
        <w:rPr>
          <w:rFonts w:asciiTheme="minorHAnsi" w:hAnsiTheme="minorHAnsi" w:cstheme="minorHAnsi"/>
          <w:color w:val="auto"/>
          <w:sz w:val="22"/>
          <w:szCs w:val="22"/>
        </w:rPr>
        <w:t>.</w:t>
      </w:r>
    </w:p>
    <w:p w14:paraId="433B8A93" w14:textId="77777777" w:rsidR="00107A6E" w:rsidRPr="00107A6E" w:rsidRDefault="00107A6E" w:rsidP="00107A6E">
      <w:pPr>
        <w:pStyle w:val="Default"/>
        <w:ind w:left="1211"/>
        <w:rPr>
          <w:rFonts w:asciiTheme="minorHAnsi" w:hAnsiTheme="minorHAnsi" w:cstheme="minorHAnsi"/>
          <w:color w:val="auto"/>
          <w:sz w:val="22"/>
          <w:szCs w:val="22"/>
        </w:rPr>
      </w:pPr>
    </w:p>
    <w:p w14:paraId="6062EBB4" w14:textId="6EC91226" w:rsidR="00BF2ABD" w:rsidRPr="00007146" w:rsidRDefault="00124E51" w:rsidP="00CB13F4">
      <w:pPr>
        <w:pStyle w:val="Heading3"/>
        <w:tabs>
          <w:tab w:val="left" w:pos="709"/>
        </w:tabs>
        <w:ind w:left="284"/>
        <w:rPr>
          <w:rFonts w:asciiTheme="minorHAnsi" w:eastAsiaTheme="minorEastAsia" w:hAnsiTheme="minorHAnsi" w:cstheme="minorHAnsi"/>
          <w:color w:val="auto"/>
          <w:sz w:val="22"/>
          <w:szCs w:val="22"/>
        </w:rPr>
      </w:pPr>
      <w:r w:rsidRPr="00007146">
        <w:rPr>
          <w:rFonts w:asciiTheme="minorHAnsi" w:hAnsiTheme="minorHAnsi" w:cstheme="minorHAnsi"/>
          <w:b/>
          <w:color w:val="auto"/>
          <w:sz w:val="22"/>
          <w:szCs w:val="22"/>
        </w:rPr>
        <w:t>8.0</w:t>
      </w:r>
      <w:r w:rsidR="00556144" w:rsidRPr="00007146">
        <w:rPr>
          <w:rFonts w:asciiTheme="minorHAnsi" w:eastAsiaTheme="minorEastAsia" w:hAnsiTheme="minorHAnsi" w:cstheme="minorHAnsi"/>
          <w:b/>
          <w:color w:val="auto"/>
          <w:sz w:val="22"/>
          <w:szCs w:val="22"/>
        </w:rPr>
        <w:t xml:space="preserve"> </w:t>
      </w:r>
      <w:r w:rsidR="009059CA" w:rsidRPr="00007146">
        <w:rPr>
          <w:rFonts w:asciiTheme="minorHAnsi" w:eastAsiaTheme="minorEastAsia" w:hAnsiTheme="minorHAnsi" w:cstheme="minorHAnsi"/>
          <w:b/>
          <w:color w:val="auto"/>
          <w:sz w:val="22"/>
          <w:szCs w:val="22"/>
        </w:rPr>
        <w:t xml:space="preserve">Board </w:t>
      </w:r>
      <w:r w:rsidR="00434FBA" w:rsidRPr="00007146">
        <w:rPr>
          <w:rFonts w:asciiTheme="minorHAnsi" w:eastAsiaTheme="minorEastAsia" w:hAnsiTheme="minorHAnsi" w:cstheme="minorHAnsi"/>
          <w:b/>
          <w:color w:val="auto"/>
          <w:sz w:val="22"/>
          <w:szCs w:val="22"/>
        </w:rPr>
        <w:t>r</w:t>
      </w:r>
      <w:r w:rsidR="005E47F7" w:rsidRPr="00007146">
        <w:rPr>
          <w:rFonts w:asciiTheme="minorHAnsi" w:eastAsiaTheme="minorEastAsia" w:hAnsiTheme="minorHAnsi" w:cstheme="minorHAnsi"/>
          <w:b/>
          <w:color w:val="auto"/>
          <w:sz w:val="22"/>
          <w:szCs w:val="22"/>
        </w:rPr>
        <w:t xml:space="preserve">esponsibilities and </w:t>
      </w:r>
      <w:r w:rsidR="00434FBA" w:rsidRPr="00007146">
        <w:rPr>
          <w:rFonts w:asciiTheme="minorHAnsi" w:eastAsiaTheme="minorEastAsia" w:hAnsiTheme="minorHAnsi" w:cstheme="minorHAnsi"/>
          <w:b/>
          <w:color w:val="auto"/>
          <w:sz w:val="22"/>
          <w:szCs w:val="22"/>
        </w:rPr>
        <w:t>a</w:t>
      </w:r>
      <w:r w:rsidR="00817397" w:rsidRPr="00007146">
        <w:rPr>
          <w:rFonts w:asciiTheme="minorHAnsi" w:eastAsiaTheme="minorEastAsia" w:hAnsiTheme="minorHAnsi" w:cstheme="minorHAnsi"/>
          <w:b/>
          <w:color w:val="auto"/>
          <w:sz w:val="22"/>
          <w:szCs w:val="22"/>
        </w:rPr>
        <w:t>ctivity</w:t>
      </w:r>
      <w:r w:rsidR="00BF2ABD" w:rsidRPr="00007146">
        <w:rPr>
          <w:rFonts w:asciiTheme="minorHAnsi" w:eastAsiaTheme="minorEastAsia" w:hAnsiTheme="minorHAnsi" w:cstheme="minorHAnsi"/>
          <w:b/>
          <w:color w:val="2F5496" w:themeColor="accent5" w:themeShade="BF"/>
          <w:sz w:val="22"/>
          <w:szCs w:val="22"/>
        </w:rPr>
        <w:br/>
      </w:r>
      <w:r w:rsidR="007B2F08">
        <w:rPr>
          <w:rFonts w:asciiTheme="minorHAnsi" w:eastAsiaTheme="minorEastAsia" w:hAnsiTheme="minorHAnsi" w:cstheme="minorHAnsi"/>
          <w:color w:val="auto"/>
          <w:sz w:val="22"/>
          <w:szCs w:val="22"/>
        </w:rPr>
        <w:t xml:space="preserve">The </w:t>
      </w:r>
      <w:r w:rsidR="00817397" w:rsidRPr="00007146">
        <w:rPr>
          <w:rFonts w:asciiTheme="minorHAnsi" w:eastAsiaTheme="minorEastAsia" w:hAnsiTheme="minorHAnsi" w:cstheme="minorHAnsi"/>
          <w:color w:val="auto"/>
          <w:sz w:val="22"/>
          <w:szCs w:val="22"/>
        </w:rPr>
        <w:t>Active Gloucestershire’s Board</w:t>
      </w:r>
      <w:r w:rsidR="009D4856">
        <w:rPr>
          <w:rFonts w:asciiTheme="minorHAnsi" w:eastAsiaTheme="minorEastAsia" w:hAnsiTheme="minorHAnsi" w:cstheme="minorHAnsi"/>
          <w:color w:val="auto"/>
          <w:sz w:val="22"/>
          <w:szCs w:val="22"/>
        </w:rPr>
        <w:t xml:space="preserve"> is responsible for:</w:t>
      </w:r>
    </w:p>
    <w:p w14:paraId="6636E05D" w14:textId="64B62974" w:rsidR="00BF2ABD" w:rsidRPr="00007146" w:rsidRDefault="00671FD3" w:rsidP="00107A6E">
      <w:pPr>
        <w:pStyle w:val="Heading2"/>
        <w:numPr>
          <w:ilvl w:val="0"/>
          <w:numId w:val="52"/>
        </w:numPr>
        <w:spacing w:before="0" w:line="240" w:lineRule="auto"/>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Ensuring</w:t>
      </w:r>
      <w:r w:rsidR="00BF2ABD" w:rsidRPr="00007146">
        <w:rPr>
          <w:rFonts w:asciiTheme="minorHAnsi" w:eastAsiaTheme="minorEastAsia" w:hAnsiTheme="minorHAnsi" w:cstheme="minorHAnsi"/>
          <w:color w:val="auto"/>
          <w:sz w:val="22"/>
          <w:szCs w:val="22"/>
        </w:rPr>
        <w:t xml:space="preserve"> the organisation operates in accordance with charitable and company law and in line with its governing documents</w:t>
      </w:r>
      <w:r w:rsidR="00447040" w:rsidRPr="00007146">
        <w:rPr>
          <w:rFonts w:asciiTheme="minorHAnsi" w:eastAsiaTheme="minorEastAsia" w:hAnsiTheme="minorHAnsi" w:cstheme="minorHAnsi"/>
          <w:color w:val="auto"/>
          <w:sz w:val="22"/>
          <w:szCs w:val="22"/>
        </w:rPr>
        <w:t>.</w:t>
      </w:r>
    </w:p>
    <w:p w14:paraId="0100F563" w14:textId="41C6241A" w:rsidR="00BF2ABD" w:rsidRPr="00007146" w:rsidRDefault="00671FD3" w:rsidP="00107A6E">
      <w:pPr>
        <w:pStyle w:val="ListParagraph"/>
        <w:numPr>
          <w:ilvl w:val="0"/>
          <w:numId w:val="52"/>
        </w:numPr>
        <w:spacing w:after="0" w:line="240" w:lineRule="auto"/>
        <w:rPr>
          <w:rFonts w:cstheme="minorHAnsi"/>
        </w:rPr>
      </w:pPr>
      <w:r>
        <w:rPr>
          <w:rFonts w:cstheme="minorHAnsi"/>
        </w:rPr>
        <w:t>Upholding</w:t>
      </w:r>
      <w:r w:rsidR="00BF2ABD" w:rsidRPr="00007146">
        <w:rPr>
          <w:rFonts w:cstheme="minorHAnsi"/>
        </w:rPr>
        <w:t xml:space="preserve"> the reputation of the organisation</w:t>
      </w:r>
      <w:r w:rsidR="00447040" w:rsidRPr="00007146">
        <w:rPr>
          <w:rFonts w:cstheme="minorHAnsi"/>
        </w:rPr>
        <w:t>.</w:t>
      </w:r>
    </w:p>
    <w:p w14:paraId="1CC62EA7" w14:textId="445B776B" w:rsidR="00BF2ABD" w:rsidRPr="00007146" w:rsidRDefault="00671FD3" w:rsidP="00107A6E">
      <w:pPr>
        <w:pStyle w:val="Heading2"/>
        <w:numPr>
          <w:ilvl w:val="0"/>
          <w:numId w:val="52"/>
        </w:numPr>
        <w:spacing w:before="0" w:line="240" w:lineRule="auto"/>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Determining</w:t>
      </w:r>
      <w:r w:rsidR="00817397" w:rsidRPr="00007146">
        <w:rPr>
          <w:rFonts w:asciiTheme="minorHAnsi" w:eastAsiaTheme="minorEastAsia" w:hAnsiTheme="minorHAnsi" w:cstheme="minorHAnsi"/>
          <w:color w:val="auto"/>
          <w:sz w:val="22"/>
          <w:szCs w:val="22"/>
        </w:rPr>
        <w:t xml:space="preserve"> the organisation’s strategic direction and alignment</w:t>
      </w:r>
      <w:r w:rsidR="00447040" w:rsidRPr="00007146">
        <w:rPr>
          <w:rFonts w:asciiTheme="minorHAnsi" w:eastAsiaTheme="minorEastAsia" w:hAnsiTheme="minorHAnsi" w:cstheme="minorHAnsi"/>
          <w:color w:val="auto"/>
          <w:sz w:val="22"/>
          <w:szCs w:val="22"/>
        </w:rPr>
        <w:t>.</w:t>
      </w:r>
    </w:p>
    <w:p w14:paraId="1E831C3C" w14:textId="3B386520" w:rsidR="00BF2ABD" w:rsidRPr="00007146" w:rsidRDefault="00671FD3" w:rsidP="00107A6E">
      <w:pPr>
        <w:pStyle w:val="ListParagraph"/>
        <w:numPr>
          <w:ilvl w:val="0"/>
          <w:numId w:val="52"/>
        </w:numPr>
        <w:spacing w:after="0" w:line="240" w:lineRule="auto"/>
        <w:rPr>
          <w:rFonts w:cstheme="minorHAnsi"/>
        </w:rPr>
      </w:pPr>
      <w:r>
        <w:rPr>
          <w:rFonts w:cstheme="minorHAnsi"/>
        </w:rPr>
        <w:t>Supporting</w:t>
      </w:r>
      <w:r w:rsidR="00BF2ABD" w:rsidRPr="00007146">
        <w:rPr>
          <w:rFonts w:cstheme="minorHAnsi"/>
        </w:rPr>
        <w:t xml:space="preserve"> the organisation’s CEO and senior management team to deliver Active Gloucestershire’s business plan</w:t>
      </w:r>
      <w:r w:rsidR="00447040" w:rsidRPr="00007146">
        <w:rPr>
          <w:rFonts w:cstheme="minorHAnsi"/>
        </w:rPr>
        <w:t>.</w:t>
      </w:r>
    </w:p>
    <w:p w14:paraId="20AD7408" w14:textId="0E682BB5" w:rsidR="00BF2ABD" w:rsidRPr="00007146" w:rsidRDefault="00671FD3" w:rsidP="00107A6E">
      <w:pPr>
        <w:pStyle w:val="Heading2"/>
        <w:numPr>
          <w:ilvl w:val="0"/>
          <w:numId w:val="52"/>
        </w:numPr>
        <w:spacing w:before="0" w:line="240" w:lineRule="auto"/>
        <w:rPr>
          <w:rFonts w:asciiTheme="minorHAnsi" w:hAnsiTheme="minorHAnsi" w:cstheme="minorHAnsi"/>
          <w:color w:val="auto"/>
          <w:sz w:val="22"/>
          <w:szCs w:val="22"/>
        </w:rPr>
      </w:pPr>
      <w:r>
        <w:rPr>
          <w:rFonts w:asciiTheme="minorHAnsi" w:eastAsiaTheme="minorEastAsia" w:hAnsiTheme="minorHAnsi" w:cstheme="minorHAnsi"/>
          <w:color w:val="auto"/>
          <w:sz w:val="22"/>
          <w:szCs w:val="22"/>
        </w:rPr>
        <w:t>Providing</w:t>
      </w:r>
      <w:r w:rsidR="00817397" w:rsidRPr="00007146">
        <w:rPr>
          <w:rFonts w:asciiTheme="minorHAnsi" w:eastAsiaTheme="minorEastAsia" w:hAnsiTheme="minorHAnsi" w:cstheme="minorHAnsi"/>
          <w:color w:val="auto"/>
          <w:sz w:val="22"/>
          <w:szCs w:val="22"/>
        </w:rPr>
        <w:t xml:space="preserve"> oversight and accountability</w:t>
      </w:r>
      <w:r w:rsidR="00447040" w:rsidRPr="00007146">
        <w:rPr>
          <w:rFonts w:asciiTheme="minorHAnsi" w:eastAsiaTheme="minorEastAsia" w:hAnsiTheme="minorHAnsi" w:cstheme="minorHAnsi"/>
          <w:color w:val="auto"/>
          <w:sz w:val="22"/>
          <w:szCs w:val="22"/>
        </w:rPr>
        <w:t>.</w:t>
      </w:r>
      <w:r w:rsidR="00817397" w:rsidRPr="00007146">
        <w:rPr>
          <w:rFonts w:asciiTheme="minorHAnsi" w:eastAsiaTheme="minorEastAsia" w:hAnsiTheme="minorHAnsi" w:cstheme="minorHAnsi"/>
          <w:color w:val="auto"/>
          <w:sz w:val="22"/>
          <w:szCs w:val="22"/>
        </w:rPr>
        <w:t xml:space="preserve"> </w:t>
      </w:r>
    </w:p>
    <w:p w14:paraId="3072717D" w14:textId="0E712729" w:rsidR="00D14407" w:rsidRPr="00007146" w:rsidRDefault="00671FD3" w:rsidP="00107A6E">
      <w:pPr>
        <w:pStyle w:val="Heading2"/>
        <w:numPr>
          <w:ilvl w:val="0"/>
          <w:numId w:val="52"/>
        </w:numPr>
        <w:spacing w:before="0" w:line="240" w:lineRule="auto"/>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Ensuring</w:t>
      </w:r>
      <w:r w:rsidR="00817397" w:rsidRPr="00007146">
        <w:rPr>
          <w:rFonts w:asciiTheme="minorHAnsi" w:eastAsiaTheme="minorEastAsia" w:hAnsiTheme="minorHAnsi" w:cstheme="minorHAnsi"/>
          <w:color w:val="auto"/>
          <w:sz w:val="22"/>
          <w:szCs w:val="22"/>
        </w:rPr>
        <w:t xml:space="preserve"> governance is shared rather than centralised within one single agency or individual</w:t>
      </w:r>
      <w:r w:rsidR="00447040" w:rsidRPr="00007146">
        <w:rPr>
          <w:rFonts w:asciiTheme="minorHAnsi" w:eastAsiaTheme="minorEastAsia" w:hAnsiTheme="minorHAnsi" w:cstheme="minorHAnsi"/>
          <w:color w:val="auto"/>
          <w:sz w:val="22"/>
          <w:szCs w:val="22"/>
        </w:rPr>
        <w:t>.</w:t>
      </w:r>
    </w:p>
    <w:p w14:paraId="2DFC009F" w14:textId="47F9A0C3" w:rsidR="00BF2ABD" w:rsidRPr="00007146" w:rsidRDefault="00DB6DF7" w:rsidP="00107A6E">
      <w:pPr>
        <w:pStyle w:val="ListParagraph"/>
        <w:numPr>
          <w:ilvl w:val="0"/>
          <w:numId w:val="52"/>
        </w:numPr>
        <w:spacing w:after="0" w:line="240" w:lineRule="auto"/>
        <w:rPr>
          <w:rFonts w:cstheme="minorHAnsi"/>
        </w:rPr>
      </w:pPr>
      <w:r w:rsidRPr="00007146">
        <w:rPr>
          <w:rFonts w:cstheme="minorHAnsi"/>
        </w:rPr>
        <w:t>S</w:t>
      </w:r>
      <w:r w:rsidR="00BF2ABD" w:rsidRPr="00007146">
        <w:rPr>
          <w:rFonts w:cstheme="minorHAnsi"/>
        </w:rPr>
        <w:t>crutinis</w:t>
      </w:r>
      <w:r w:rsidR="00671FD3">
        <w:rPr>
          <w:rFonts w:cstheme="minorHAnsi"/>
        </w:rPr>
        <w:t xml:space="preserve">ing </w:t>
      </w:r>
      <w:r w:rsidR="00BF2ABD" w:rsidRPr="00007146">
        <w:rPr>
          <w:rFonts w:cstheme="minorHAnsi"/>
        </w:rPr>
        <w:t>the performance of the organisation, holding executive staff to account via the examination of key</w:t>
      </w:r>
      <w:r w:rsidR="00671FD3">
        <w:rPr>
          <w:rFonts w:cstheme="minorHAnsi"/>
        </w:rPr>
        <w:t xml:space="preserve"> </w:t>
      </w:r>
      <w:r w:rsidR="00BF2ABD" w:rsidRPr="00007146">
        <w:rPr>
          <w:rFonts w:cstheme="minorHAnsi"/>
        </w:rPr>
        <w:t xml:space="preserve"> performance indicators and targets outlined in the CEO’s report</w:t>
      </w:r>
      <w:r w:rsidR="00447040" w:rsidRPr="00007146">
        <w:rPr>
          <w:rFonts w:cstheme="minorHAnsi"/>
        </w:rPr>
        <w:t>.</w:t>
      </w:r>
    </w:p>
    <w:p w14:paraId="3DEE6CC2" w14:textId="6191AFF5" w:rsidR="00BF2ABD" w:rsidRPr="00007146" w:rsidRDefault="00DB6DF7" w:rsidP="00107A6E">
      <w:pPr>
        <w:pStyle w:val="Heading2"/>
        <w:numPr>
          <w:ilvl w:val="0"/>
          <w:numId w:val="52"/>
        </w:numPr>
        <w:spacing w:before="0" w:line="240" w:lineRule="auto"/>
        <w:rPr>
          <w:rFonts w:asciiTheme="minorHAnsi" w:eastAsiaTheme="minorEastAsia" w:hAnsiTheme="minorHAnsi" w:cstheme="minorHAnsi"/>
          <w:color w:val="auto"/>
          <w:sz w:val="22"/>
          <w:szCs w:val="22"/>
        </w:rPr>
      </w:pPr>
      <w:r w:rsidRPr="00007146">
        <w:rPr>
          <w:rFonts w:asciiTheme="minorHAnsi" w:eastAsiaTheme="minorEastAsia" w:hAnsiTheme="minorHAnsi" w:cstheme="minorHAnsi"/>
          <w:color w:val="auto"/>
          <w:sz w:val="22"/>
          <w:szCs w:val="22"/>
        </w:rPr>
        <w:t>M</w:t>
      </w:r>
      <w:r w:rsidR="00BF2ABD" w:rsidRPr="00007146">
        <w:rPr>
          <w:rFonts w:asciiTheme="minorHAnsi" w:eastAsiaTheme="minorEastAsia" w:hAnsiTheme="minorHAnsi" w:cstheme="minorHAnsi"/>
          <w:color w:val="auto"/>
          <w:sz w:val="22"/>
          <w:szCs w:val="22"/>
        </w:rPr>
        <w:t>aintain</w:t>
      </w:r>
      <w:r w:rsidR="00671FD3">
        <w:rPr>
          <w:rFonts w:asciiTheme="minorHAnsi" w:eastAsiaTheme="minorEastAsia" w:hAnsiTheme="minorHAnsi" w:cstheme="minorHAnsi"/>
          <w:color w:val="auto"/>
          <w:sz w:val="22"/>
          <w:szCs w:val="22"/>
        </w:rPr>
        <w:t>ing</w:t>
      </w:r>
      <w:r w:rsidR="00BF2ABD" w:rsidRPr="00007146">
        <w:rPr>
          <w:rFonts w:asciiTheme="minorHAnsi" w:eastAsiaTheme="minorEastAsia" w:hAnsiTheme="minorHAnsi" w:cstheme="minorHAnsi"/>
          <w:color w:val="auto"/>
          <w:sz w:val="22"/>
          <w:szCs w:val="22"/>
        </w:rPr>
        <w:t xml:space="preserve"> the financial health of the organisation, which it does by scrutinising the financial information contained within the FRC report and the external auditors report.  </w:t>
      </w:r>
    </w:p>
    <w:p w14:paraId="5FBD7FDD" w14:textId="77603A2C" w:rsidR="00BF2ABD" w:rsidRPr="00007146" w:rsidRDefault="00DB6DF7" w:rsidP="00107A6E">
      <w:pPr>
        <w:pStyle w:val="Heading2"/>
        <w:numPr>
          <w:ilvl w:val="0"/>
          <w:numId w:val="52"/>
        </w:numPr>
        <w:spacing w:before="0" w:line="240" w:lineRule="auto"/>
        <w:rPr>
          <w:rFonts w:asciiTheme="minorHAnsi" w:eastAsiaTheme="minorEastAsia" w:hAnsiTheme="minorHAnsi" w:cstheme="minorHAnsi"/>
          <w:color w:val="auto"/>
          <w:sz w:val="22"/>
          <w:szCs w:val="22"/>
        </w:rPr>
      </w:pPr>
      <w:r w:rsidRPr="00007146">
        <w:rPr>
          <w:rFonts w:asciiTheme="minorHAnsi" w:eastAsiaTheme="minorEastAsia" w:hAnsiTheme="minorHAnsi" w:cstheme="minorHAnsi"/>
          <w:color w:val="auto"/>
          <w:sz w:val="22"/>
          <w:szCs w:val="22"/>
        </w:rPr>
        <w:t>R</w:t>
      </w:r>
      <w:r w:rsidR="00BF2ABD" w:rsidRPr="00007146">
        <w:rPr>
          <w:rFonts w:asciiTheme="minorHAnsi" w:eastAsiaTheme="minorEastAsia" w:hAnsiTheme="minorHAnsi" w:cstheme="minorHAnsi"/>
          <w:color w:val="auto"/>
          <w:sz w:val="22"/>
          <w:szCs w:val="22"/>
        </w:rPr>
        <w:t>eview</w:t>
      </w:r>
      <w:r w:rsidR="00671FD3">
        <w:rPr>
          <w:rFonts w:asciiTheme="minorHAnsi" w:eastAsiaTheme="minorEastAsia" w:hAnsiTheme="minorHAnsi" w:cstheme="minorHAnsi"/>
          <w:color w:val="auto"/>
          <w:sz w:val="22"/>
          <w:szCs w:val="22"/>
        </w:rPr>
        <w:t>ing</w:t>
      </w:r>
      <w:r w:rsidR="00BF2ABD" w:rsidRPr="00007146">
        <w:rPr>
          <w:rFonts w:asciiTheme="minorHAnsi" w:eastAsiaTheme="minorEastAsia" w:hAnsiTheme="minorHAnsi" w:cstheme="minorHAnsi"/>
          <w:color w:val="auto"/>
          <w:sz w:val="22"/>
          <w:szCs w:val="22"/>
        </w:rPr>
        <w:t xml:space="preserve"> risk</w:t>
      </w:r>
      <w:r w:rsidR="00124E51" w:rsidRPr="00007146">
        <w:rPr>
          <w:rFonts w:asciiTheme="minorHAnsi" w:eastAsiaTheme="minorEastAsia" w:hAnsiTheme="minorHAnsi" w:cstheme="minorHAnsi"/>
          <w:color w:val="auto"/>
          <w:sz w:val="22"/>
          <w:szCs w:val="22"/>
        </w:rPr>
        <w:t xml:space="preserve"> continually</w:t>
      </w:r>
      <w:r w:rsidR="00BF2ABD" w:rsidRPr="00007146">
        <w:rPr>
          <w:rFonts w:asciiTheme="minorHAnsi" w:eastAsiaTheme="minorEastAsia" w:hAnsiTheme="minorHAnsi" w:cstheme="minorHAnsi"/>
          <w:color w:val="auto"/>
          <w:sz w:val="22"/>
          <w:szCs w:val="22"/>
        </w:rPr>
        <w:t>, which it does via the risk register</w:t>
      </w:r>
      <w:r w:rsidR="00447040" w:rsidRPr="00007146">
        <w:rPr>
          <w:rFonts w:asciiTheme="minorHAnsi" w:eastAsiaTheme="minorEastAsia" w:hAnsiTheme="minorHAnsi" w:cstheme="minorHAnsi"/>
          <w:color w:val="auto"/>
          <w:sz w:val="22"/>
          <w:szCs w:val="22"/>
        </w:rPr>
        <w:t>.</w:t>
      </w:r>
    </w:p>
    <w:p w14:paraId="28B771F8" w14:textId="5171C1AE" w:rsidR="005E47F7" w:rsidRPr="00007146" w:rsidRDefault="00DB6DF7" w:rsidP="00107A6E">
      <w:pPr>
        <w:pStyle w:val="Heading2"/>
        <w:numPr>
          <w:ilvl w:val="0"/>
          <w:numId w:val="52"/>
        </w:numPr>
        <w:spacing w:before="0" w:line="240" w:lineRule="auto"/>
        <w:rPr>
          <w:rFonts w:asciiTheme="minorHAnsi" w:eastAsiaTheme="minorEastAsia" w:hAnsiTheme="minorHAnsi" w:cstheme="minorHAnsi"/>
          <w:color w:val="auto"/>
          <w:sz w:val="22"/>
          <w:szCs w:val="22"/>
        </w:rPr>
      </w:pPr>
      <w:r w:rsidRPr="00007146">
        <w:rPr>
          <w:rFonts w:asciiTheme="minorHAnsi" w:eastAsiaTheme="minorEastAsia" w:hAnsiTheme="minorHAnsi" w:cstheme="minorHAnsi"/>
          <w:color w:val="auto"/>
          <w:sz w:val="22"/>
          <w:szCs w:val="22"/>
        </w:rPr>
        <w:t>A</w:t>
      </w:r>
      <w:r w:rsidR="005E47F7" w:rsidRPr="00007146">
        <w:rPr>
          <w:rFonts w:asciiTheme="minorHAnsi" w:eastAsiaTheme="minorEastAsia" w:hAnsiTheme="minorHAnsi" w:cstheme="minorHAnsi"/>
          <w:color w:val="auto"/>
          <w:sz w:val="22"/>
          <w:szCs w:val="22"/>
        </w:rPr>
        <w:t>pprov</w:t>
      </w:r>
      <w:r w:rsidR="00671FD3">
        <w:rPr>
          <w:rFonts w:asciiTheme="minorHAnsi" w:eastAsiaTheme="minorEastAsia" w:hAnsiTheme="minorHAnsi" w:cstheme="minorHAnsi"/>
          <w:color w:val="auto"/>
          <w:sz w:val="22"/>
          <w:szCs w:val="22"/>
        </w:rPr>
        <w:t>ing</w:t>
      </w:r>
      <w:r w:rsidR="005E47F7" w:rsidRPr="00007146">
        <w:rPr>
          <w:rFonts w:asciiTheme="minorHAnsi" w:eastAsiaTheme="minorEastAsia" w:hAnsiTheme="minorHAnsi" w:cstheme="minorHAnsi"/>
          <w:color w:val="auto"/>
          <w:sz w:val="22"/>
          <w:szCs w:val="22"/>
        </w:rPr>
        <w:t xml:space="preserve"> organisational policies and procedures</w:t>
      </w:r>
      <w:r w:rsidR="003D160C" w:rsidRPr="00007146">
        <w:rPr>
          <w:rFonts w:asciiTheme="minorHAnsi" w:eastAsiaTheme="minorEastAsia" w:hAnsiTheme="minorHAnsi" w:cstheme="minorHAnsi"/>
          <w:color w:val="auto"/>
          <w:sz w:val="22"/>
          <w:szCs w:val="22"/>
        </w:rPr>
        <w:t>.</w:t>
      </w:r>
    </w:p>
    <w:p w14:paraId="209C0612" w14:textId="77777777" w:rsidR="00D14407" w:rsidRPr="00007146" w:rsidRDefault="00D14407" w:rsidP="00556144">
      <w:pPr>
        <w:spacing w:after="0"/>
        <w:rPr>
          <w:rFonts w:cstheme="minorHAnsi"/>
          <w:color w:val="2F5496" w:themeColor="accent5" w:themeShade="BF"/>
        </w:rPr>
      </w:pPr>
    </w:p>
    <w:p w14:paraId="004D5162" w14:textId="14E82CF0" w:rsidR="00345096" w:rsidRPr="00007146" w:rsidRDefault="00406E6C" w:rsidP="00122980">
      <w:pPr>
        <w:spacing w:after="0"/>
        <w:ind w:left="360"/>
        <w:rPr>
          <w:rFonts w:cstheme="minorHAnsi"/>
        </w:rPr>
      </w:pPr>
      <w:r w:rsidRPr="00007146">
        <w:rPr>
          <w:rFonts w:cstheme="minorHAnsi"/>
        </w:rPr>
        <w:t>Dur</w:t>
      </w:r>
      <w:r w:rsidR="00FB1AF0" w:rsidRPr="00007146">
        <w:rPr>
          <w:rFonts w:cstheme="minorHAnsi"/>
        </w:rPr>
        <w:t>ing 20</w:t>
      </w:r>
      <w:r w:rsidR="00363080" w:rsidRPr="00007146">
        <w:rPr>
          <w:rFonts w:cstheme="minorHAnsi"/>
        </w:rPr>
        <w:t>20</w:t>
      </w:r>
      <w:r w:rsidR="00BF2ABD" w:rsidRPr="00007146">
        <w:rPr>
          <w:rFonts w:cstheme="minorHAnsi"/>
        </w:rPr>
        <w:t>-202</w:t>
      </w:r>
      <w:r w:rsidR="00363080" w:rsidRPr="00007146">
        <w:rPr>
          <w:rFonts w:cstheme="minorHAnsi"/>
        </w:rPr>
        <w:t>1</w:t>
      </w:r>
      <w:r w:rsidR="00FB1AF0" w:rsidRPr="00007146">
        <w:rPr>
          <w:rFonts w:cstheme="minorHAnsi"/>
        </w:rPr>
        <w:t>, the Board met</w:t>
      </w:r>
      <w:r w:rsidR="003A2082" w:rsidRPr="00007146">
        <w:rPr>
          <w:rFonts w:cstheme="minorHAnsi"/>
        </w:rPr>
        <w:t xml:space="preserve"> </w:t>
      </w:r>
      <w:r w:rsidR="001B12D2" w:rsidRPr="00007146">
        <w:rPr>
          <w:rFonts w:cstheme="minorHAnsi"/>
        </w:rPr>
        <w:t xml:space="preserve">eight </w:t>
      </w:r>
      <w:r w:rsidR="00FB1AF0" w:rsidRPr="00007146">
        <w:rPr>
          <w:rFonts w:cstheme="minorHAnsi"/>
        </w:rPr>
        <w:t>times</w:t>
      </w:r>
      <w:r w:rsidR="007F07F9">
        <w:rPr>
          <w:rFonts w:cstheme="minorHAnsi"/>
        </w:rPr>
        <w:t>.</w:t>
      </w:r>
      <w:r w:rsidR="00FB1AF0" w:rsidRPr="00007146">
        <w:rPr>
          <w:rFonts w:cstheme="minorHAnsi"/>
        </w:rPr>
        <w:t xml:space="preserve"> </w:t>
      </w:r>
      <w:r w:rsidR="00EA72F9" w:rsidRPr="00007146">
        <w:rPr>
          <w:rFonts w:cstheme="minorHAnsi"/>
        </w:rPr>
        <w:t xml:space="preserve">The Board’s principal areas of focus during </w:t>
      </w:r>
      <w:r w:rsidR="00B00549" w:rsidRPr="00007146">
        <w:rPr>
          <w:rFonts w:cstheme="minorHAnsi"/>
        </w:rPr>
        <w:t>2020</w:t>
      </w:r>
      <w:r w:rsidR="00EA72F9" w:rsidRPr="00007146">
        <w:rPr>
          <w:rFonts w:cstheme="minorHAnsi"/>
        </w:rPr>
        <w:t>-20</w:t>
      </w:r>
      <w:r w:rsidR="00BF2ABD" w:rsidRPr="00007146">
        <w:rPr>
          <w:rFonts w:cstheme="minorHAnsi"/>
        </w:rPr>
        <w:t>2</w:t>
      </w:r>
      <w:r w:rsidR="00B00549" w:rsidRPr="00007146">
        <w:rPr>
          <w:rFonts w:cstheme="minorHAnsi"/>
        </w:rPr>
        <w:t>1</w:t>
      </w:r>
      <w:r w:rsidR="00BF1DF9" w:rsidRPr="00007146">
        <w:rPr>
          <w:rFonts w:cstheme="minorHAnsi"/>
        </w:rPr>
        <w:t xml:space="preserve"> ha</w:t>
      </w:r>
      <w:r w:rsidR="00804B34" w:rsidRPr="00007146">
        <w:rPr>
          <w:rFonts w:cstheme="minorHAnsi"/>
        </w:rPr>
        <w:t>ve</w:t>
      </w:r>
      <w:r w:rsidR="00BF1DF9" w:rsidRPr="00007146">
        <w:rPr>
          <w:rFonts w:cstheme="minorHAnsi"/>
        </w:rPr>
        <w:t xml:space="preserve"> been</w:t>
      </w:r>
      <w:r w:rsidR="00F87F7C" w:rsidRPr="00007146">
        <w:rPr>
          <w:rFonts w:cstheme="minorHAnsi"/>
        </w:rPr>
        <w:t>:</w:t>
      </w:r>
    </w:p>
    <w:p w14:paraId="2B333E0F" w14:textId="7725EB05" w:rsidR="007870BA" w:rsidRPr="00007146" w:rsidRDefault="007C58AD" w:rsidP="00107A6E">
      <w:pPr>
        <w:pStyle w:val="ListParagraph"/>
        <w:numPr>
          <w:ilvl w:val="0"/>
          <w:numId w:val="55"/>
        </w:numPr>
        <w:spacing w:after="0" w:line="240" w:lineRule="auto"/>
        <w:ind w:left="720"/>
        <w:rPr>
          <w:rFonts w:cstheme="minorHAnsi"/>
        </w:rPr>
      </w:pPr>
      <w:r w:rsidRPr="00007146">
        <w:rPr>
          <w:rFonts w:cstheme="minorHAnsi"/>
        </w:rPr>
        <w:t>T</w:t>
      </w:r>
      <w:r w:rsidR="007870BA" w:rsidRPr="00007146">
        <w:rPr>
          <w:rFonts w:cstheme="minorHAnsi"/>
        </w:rPr>
        <w:t>rustee recruitment</w:t>
      </w:r>
    </w:p>
    <w:p w14:paraId="04B611AF" w14:textId="51B213A1" w:rsidR="002A24D3" w:rsidRPr="00007146" w:rsidRDefault="002A24D3" w:rsidP="00107A6E">
      <w:pPr>
        <w:pStyle w:val="ListParagraph"/>
        <w:numPr>
          <w:ilvl w:val="0"/>
          <w:numId w:val="55"/>
        </w:numPr>
        <w:spacing w:after="0" w:line="240" w:lineRule="auto"/>
        <w:ind w:left="720"/>
        <w:rPr>
          <w:rFonts w:cstheme="minorHAnsi"/>
        </w:rPr>
      </w:pPr>
      <w:r w:rsidRPr="00007146">
        <w:rPr>
          <w:rFonts w:cstheme="minorHAnsi"/>
        </w:rPr>
        <w:t>Response to the Covid-19 pandemic</w:t>
      </w:r>
    </w:p>
    <w:p w14:paraId="45ABAE36" w14:textId="1E196D3F" w:rsidR="00593AE8" w:rsidRPr="00007146" w:rsidRDefault="00DB6DF7" w:rsidP="00107A6E">
      <w:pPr>
        <w:pStyle w:val="ListParagraph"/>
        <w:numPr>
          <w:ilvl w:val="0"/>
          <w:numId w:val="55"/>
        </w:numPr>
        <w:spacing w:after="0" w:line="240" w:lineRule="auto"/>
        <w:ind w:left="720"/>
        <w:rPr>
          <w:rFonts w:cstheme="minorHAnsi"/>
        </w:rPr>
      </w:pPr>
      <w:r w:rsidRPr="00007146">
        <w:rPr>
          <w:rFonts w:cstheme="minorHAnsi"/>
        </w:rPr>
        <w:lastRenderedPageBreak/>
        <w:t>D</w:t>
      </w:r>
      <w:r w:rsidR="001A6EAB" w:rsidRPr="00007146">
        <w:rPr>
          <w:rFonts w:cstheme="minorHAnsi"/>
        </w:rPr>
        <w:t>evelop</w:t>
      </w:r>
      <w:r w:rsidR="00965A56" w:rsidRPr="00007146">
        <w:rPr>
          <w:rFonts w:cstheme="minorHAnsi"/>
        </w:rPr>
        <w:t>ing</w:t>
      </w:r>
      <w:r w:rsidR="001A6EAB" w:rsidRPr="00007146">
        <w:rPr>
          <w:rFonts w:cstheme="minorHAnsi"/>
        </w:rPr>
        <w:t xml:space="preserve"> the Board’s own understanding of social movements, </w:t>
      </w:r>
      <w:r w:rsidR="00E45528" w:rsidRPr="00007146">
        <w:rPr>
          <w:rFonts w:cstheme="minorHAnsi"/>
        </w:rPr>
        <w:t xml:space="preserve">whole system change and </w:t>
      </w:r>
      <w:r w:rsidR="001A6EAB" w:rsidRPr="00007146">
        <w:rPr>
          <w:rFonts w:cstheme="minorHAnsi"/>
        </w:rPr>
        <w:t xml:space="preserve">backbone </w:t>
      </w:r>
      <w:r w:rsidR="00747BD4" w:rsidRPr="00007146">
        <w:rPr>
          <w:rFonts w:cstheme="minorHAnsi"/>
        </w:rPr>
        <w:t>organisations</w:t>
      </w:r>
    </w:p>
    <w:p w14:paraId="50052A58" w14:textId="5CD6994F" w:rsidR="007870BA" w:rsidRPr="00007146" w:rsidRDefault="00DB6DF7" w:rsidP="00107A6E">
      <w:pPr>
        <w:pStyle w:val="ListParagraph"/>
        <w:numPr>
          <w:ilvl w:val="0"/>
          <w:numId w:val="55"/>
        </w:numPr>
        <w:spacing w:after="0" w:line="240" w:lineRule="auto"/>
        <w:ind w:left="720"/>
        <w:rPr>
          <w:rFonts w:cstheme="minorHAnsi"/>
        </w:rPr>
      </w:pPr>
      <w:r w:rsidRPr="00007146">
        <w:rPr>
          <w:rFonts w:cstheme="minorHAnsi"/>
        </w:rPr>
        <w:t>R</w:t>
      </w:r>
      <w:r w:rsidR="007870BA" w:rsidRPr="00007146">
        <w:rPr>
          <w:rFonts w:cstheme="minorHAnsi"/>
        </w:rPr>
        <w:t xml:space="preserve">eview and discussion of </w:t>
      </w:r>
      <w:r w:rsidR="007870BA" w:rsidRPr="00007146">
        <w:rPr>
          <w:rFonts w:cstheme="minorHAnsi"/>
          <w:b/>
          <w:bCs/>
        </w:rPr>
        <w:t>we can move</w:t>
      </w:r>
      <w:r w:rsidR="007870BA" w:rsidRPr="00007146">
        <w:rPr>
          <w:rFonts w:cstheme="minorHAnsi"/>
        </w:rPr>
        <w:t xml:space="preserve"> - values and behaviours, movement building strategy, </w:t>
      </w:r>
      <w:r w:rsidR="006921D8" w:rsidRPr="00007146">
        <w:rPr>
          <w:rFonts w:cstheme="minorHAnsi"/>
        </w:rPr>
        <w:t>evaluation,</w:t>
      </w:r>
    </w:p>
    <w:p w14:paraId="1BF6C6B5" w14:textId="2FC44F0E" w:rsidR="007870BA" w:rsidRPr="00007146" w:rsidRDefault="007C58AD" w:rsidP="00107A6E">
      <w:pPr>
        <w:pStyle w:val="ListParagraph"/>
        <w:spacing w:after="0" w:line="240" w:lineRule="auto"/>
        <w:rPr>
          <w:rFonts w:cstheme="minorHAnsi"/>
        </w:rPr>
      </w:pPr>
      <w:r w:rsidRPr="00007146">
        <w:rPr>
          <w:rFonts w:cstheme="minorHAnsi"/>
        </w:rPr>
        <w:t>l</w:t>
      </w:r>
      <w:r w:rsidR="007870BA" w:rsidRPr="00007146">
        <w:rPr>
          <w:rFonts w:cstheme="minorHAnsi"/>
        </w:rPr>
        <w:t>eadership</w:t>
      </w:r>
      <w:r w:rsidR="00751902" w:rsidRPr="00007146">
        <w:rPr>
          <w:rFonts w:cstheme="minorHAnsi"/>
        </w:rPr>
        <w:t xml:space="preserve"> and</w:t>
      </w:r>
      <w:r w:rsidR="00ED1DC1" w:rsidRPr="00007146">
        <w:rPr>
          <w:rFonts w:cstheme="minorHAnsi"/>
        </w:rPr>
        <w:t xml:space="preserve"> branding</w:t>
      </w:r>
    </w:p>
    <w:p w14:paraId="7EE4B971" w14:textId="1919A062" w:rsidR="00B6356C" w:rsidRPr="00007146" w:rsidRDefault="00DB6DF7" w:rsidP="00107A6E">
      <w:pPr>
        <w:pStyle w:val="ListParagraph"/>
        <w:numPr>
          <w:ilvl w:val="0"/>
          <w:numId w:val="55"/>
        </w:numPr>
        <w:spacing w:after="0" w:line="240" w:lineRule="auto"/>
        <w:ind w:left="720"/>
        <w:rPr>
          <w:rFonts w:cstheme="minorHAnsi"/>
        </w:rPr>
      </w:pPr>
      <w:r w:rsidRPr="00007146">
        <w:rPr>
          <w:rFonts w:cstheme="minorHAnsi"/>
        </w:rPr>
        <w:t>E</w:t>
      </w:r>
      <w:r w:rsidR="00A4793F" w:rsidRPr="00007146">
        <w:rPr>
          <w:rFonts w:cstheme="minorHAnsi"/>
        </w:rPr>
        <w:t>valuat</w:t>
      </w:r>
      <w:r w:rsidR="00965A56" w:rsidRPr="00007146">
        <w:rPr>
          <w:rFonts w:cstheme="minorHAnsi"/>
        </w:rPr>
        <w:t>ion</w:t>
      </w:r>
      <w:r w:rsidR="00A4793F" w:rsidRPr="00007146">
        <w:rPr>
          <w:rFonts w:cstheme="minorHAnsi"/>
        </w:rPr>
        <w:t xml:space="preserve"> and </w:t>
      </w:r>
      <w:r w:rsidR="004801F5" w:rsidRPr="00007146">
        <w:rPr>
          <w:rFonts w:cstheme="minorHAnsi"/>
        </w:rPr>
        <w:t>revis</w:t>
      </w:r>
      <w:r w:rsidR="00965A56" w:rsidRPr="00007146">
        <w:rPr>
          <w:rFonts w:cstheme="minorHAnsi"/>
        </w:rPr>
        <w:t>ion of the</w:t>
      </w:r>
      <w:r w:rsidR="004801F5" w:rsidRPr="00007146">
        <w:rPr>
          <w:rFonts w:cstheme="minorHAnsi"/>
        </w:rPr>
        <w:t xml:space="preserve"> governance</w:t>
      </w:r>
      <w:r w:rsidR="0067044F" w:rsidRPr="00007146">
        <w:rPr>
          <w:rFonts w:cstheme="minorHAnsi"/>
        </w:rPr>
        <w:t xml:space="preserve"> framework</w:t>
      </w:r>
      <w:r w:rsidR="004801F5" w:rsidRPr="00007146">
        <w:rPr>
          <w:rFonts w:cstheme="minorHAnsi"/>
        </w:rPr>
        <w:t xml:space="preserve"> </w:t>
      </w:r>
      <w:r w:rsidR="00751902" w:rsidRPr="00007146">
        <w:rPr>
          <w:rFonts w:cstheme="minorHAnsi"/>
        </w:rPr>
        <w:t>for</w:t>
      </w:r>
      <w:r w:rsidR="004801F5" w:rsidRPr="00007146">
        <w:rPr>
          <w:rFonts w:cstheme="minorHAnsi"/>
        </w:rPr>
        <w:t xml:space="preserve"> </w:t>
      </w:r>
      <w:r w:rsidR="00A4793F" w:rsidRPr="00007146">
        <w:rPr>
          <w:rFonts w:cstheme="minorHAnsi"/>
          <w:b/>
          <w:bCs/>
        </w:rPr>
        <w:t>we can move</w:t>
      </w:r>
      <w:r w:rsidR="00AD13EE" w:rsidRPr="00007146">
        <w:rPr>
          <w:rFonts w:cstheme="minorHAnsi"/>
        </w:rPr>
        <w:t xml:space="preserve"> </w:t>
      </w:r>
      <w:r w:rsidR="008C2769" w:rsidRPr="00007146">
        <w:rPr>
          <w:rFonts w:cstheme="minorHAnsi"/>
        </w:rPr>
        <w:t xml:space="preserve">including establish a new </w:t>
      </w:r>
      <w:r w:rsidR="008C2769" w:rsidRPr="00007146">
        <w:rPr>
          <w:rFonts w:cstheme="minorHAnsi"/>
          <w:b/>
          <w:bCs/>
        </w:rPr>
        <w:t>we can move</w:t>
      </w:r>
      <w:r w:rsidR="008C2769" w:rsidRPr="00007146">
        <w:rPr>
          <w:rFonts w:cstheme="minorHAnsi"/>
        </w:rPr>
        <w:t xml:space="preserve"> council</w:t>
      </w:r>
      <w:r w:rsidR="000E2161" w:rsidRPr="00007146">
        <w:rPr>
          <w:rFonts w:cstheme="minorHAnsi"/>
        </w:rPr>
        <w:t xml:space="preserve">, </w:t>
      </w:r>
      <w:r w:rsidR="008C2769" w:rsidRPr="00007146">
        <w:rPr>
          <w:rFonts w:cstheme="minorHAnsi"/>
        </w:rPr>
        <w:t>programme group</w:t>
      </w:r>
      <w:r w:rsidR="000E2161" w:rsidRPr="00007146">
        <w:rPr>
          <w:rFonts w:cstheme="minorHAnsi"/>
        </w:rPr>
        <w:t>, learning partners and wider champions forum</w:t>
      </w:r>
    </w:p>
    <w:p w14:paraId="72FED306" w14:textId="072A9058" w:rsidR="008911F6" w:rsidRPr="00007146" w:rsidRDefault="00DB6DF7" w:rsidP="00107A6E">
      <w:pPr>
        <w:pStyle w:val="ListParagraph"/>
        <w:numPr>
          <w:ilvl w:val="0"/>
          <w:numId w:val="55"/>
        </w:numPr>
        <w:spacing w:after="0" w:line="240" w:lineRule="auto"/>
        <w:ind w:left="720"/>
        <w:rPr>
          <w:rFonts w:cstheme="minorHAnsi"/>
        </w:rPr>
      </w:pPr>
      <w:r w:rsidRPr="00007146">
        <w:rPr>
          <w:rFonts w:cstheme="minorHAnsi"/>
        </w:rPr>
        <w:t>R</w:t>
      </w:r>
      <w:r w:rsidR="00804B34" w:rsidRPr="00007146">
        <w:rPr>
          <w:rFonts w:cstheme="minorHAnsi"/>
        </w:rPr>
        <w:t>eview of business development and business plan</w:t>
      </w:r>
      <w:r w:rsidR="008911F6" w:rsidRPr="00007146">
        <w:rPr>
          <w:rFonts w:cstheme="minorHAnsi"/>
        </w:rPr>
        <w:t xml:space="preserve"> </w:t>
      </w:r>
    </w:p>
    <w:p w14:paraId="4D474774" w14:textId="06F0310D" w:rsidR="008911F6" w:rsidRPr="00007146" w:rsidRDefault="00DB6DF7" w:rsidP="00107A6E">
      <w:pPr>
        <w:pStyle w:val="ListParagraph"/>
        <w:numPr>
          <w:ilvl w:val="0"/>
          <w:numId w:val="55"/>
        </w:numPr>
        <w:spacing w:after="0" w:line="240" w:lineRule="auto"/>
        <w:ind w:left="720"/>
        <w:rPr>
          <w:rFonts w:cstheme="minorHAnsi"/>
        </w:rPr>
      </w:pPr>
      <w:r w:rsidRPr="00007146">
        <w:rPr>
          <w:rFonts w:cstheme="minorHAnsi"/>
        </w:rPr>
        <w:t>F</w:t>
      </w:r>
      <w:r w:rsidR="008911F6" w:rsidRPr="00007146">
        <w:rPr>
          <w:rFonts w:cstheme="minorHAnsi"/>
        </w:rPr>
        <w:t>inancial scrutiny - annual accounts, financial plan and budgets, external audit</w:t>
      </w:r>
    </w:p>
    <w:p w14:paraId="48AAE4D9" w14:textId="47967239" w:rsidR="009D4D2E" w:rsidRPr="00007146" w:rsidRDefault="00DB6DF7" w:rsidP="00107A6E">
      <w:pPr>
        <w:pStyle w:val="ListParagraph"/>
        <w:numPr>
          <w:ilvl w:val="0"/>
          <w:numId w:val="55"/>
        </w:numPr>
        <w:spacing w:after="0" w:line="240" w:lineRule="auto"/>
        <w:ind w:left="720"/>
        <w:rPr>
          <w:rFonts w:cstheme="minorHAnsi"/>
        </w:rPr>
      </w:pPr>
      <w:r w:rsidRPr="00007146">
        <w:rPr>
          <w:rFonts w:cstheme="minorHAnsi"/>
        </w:rPr>
        <w:t>P</w:t>
      </w:r>
      <w:r w:rsidR="00804B34" w:rsidRPr="00007146">
        <w:rPr>
          <w:rFonts w:cstheme="minorHAnsi"/>
        </w:rPr>
        <w:t>olicy review as per the policy cycle</w:t>
      </w:r>
      <w:r w:rsidRPr="00007146">
        <w:rPr>
          <w:rFonts w:cstheme="minorHAnsi"/>
        </w:rPr>
        <w:t>.</w:t>
      </w:r>
    </w:p>
    <w:p w14:paraId="407AE18C" w14:textId="77777777" w:rsidR="00D454A6" w:rsidRPr="00007146" w:rsidRDefault="00D454A6" w:rsidP="00556144">
      <w:pPr>
        <w:pStyle w:val="Heading3"/>
        <w:spacing w:before="0"/>
        <w:rPr>
          <w:rFonts w:asciiTheme="minorHAnsi" w:eastAsiaTheme="minorEastAsia" w:hAnsiTheme="minorHAnsi" w:cstheme="minorHAnsi"/>
          <w:color w:val="2F5496" w:themeColor="accent5" w:themeShade="BF"/>
          <w:sz w:val="22"/>
          <w:szCs w:val="22"/>
        </w:rPr>
      </w:pPr>
    </w:p>
    <w:p w14:paraId="48AD010C" w14:textId="74688F48" w:rsidR="00231B8A" w:rsidRDefault="00124E51" w:rsidP="00122980">
      <w:pPr>
        <w:pStyle w:val="Heading3"/>
        <w:rPr>
          <w:rFonts w:asciiTheme="minorHAnsi" w:hAnsiTheme="minorHAnsi" w:cstheme="minorHAnsi"/>
          <w:sz w:val="22"/>
          <w:szCs w:val="22"/>
        </w:rPr>
      </w:pPr>
      <w:r w:rsidRPr="00007146">
        <w:rPr>
          <w:rFonts w:asciiTheme="minorHAnsi" w:hAnsiTheme="minorHAnsi" w:cstheme="minorHAnsi"/>
          <w:b/>
          <w:color w:val="auto"/>
          <w:sz w:val="22"/>
          <w:szCs w:val="22"/>
        </w:rPr>
        <w:t>9.0</w:t>
      </w:r>
      <w:r w:rsidR="00556144" w:rsidRPr="00007146">
        <w:rPr>
          <w:rFonts w:asciiTheme="minorHAnsi" w:hAnsiTheme="minorHAnsi" w:cstheme="minorHAnsi"/>
          <w:b/>
          <w:color w:val="auto"/>
          <w:sz w:val="22"/>
          <w:szCs w:val="22"/>
        </w:rPr>
        <w:t xml:space="preserve"> </w:t>
      </w:r>
      <w:r w:rsidR="00F8146B" w:rsidRPr="00007146">
        <w:rPr>
          <w:rFonts w:asciiTheme="minorHAnsi" w:hAnsiTheme="minorHAnsi" w:cstheme="minorHAnsi"/>
          <w:b/>
          <w:color w:val="auto"/>
          <w:sz w:val="22"/>
          <w:szCs w:val="22"/>
        </w:rPr>
        <w:t>Risk m</w:t>
      </w:r>
      <w:r w:rsidR="005164A7" w:rsidRPr="00007146">
        <w:rPr>
          <w:rFonts w:asciiTheme="minorHAnsi" w:hAnsiTheme="minorHAnsi" w:cstheme="minorHAnsi"/>
          <w:b/>
          <w:color w:val="auto"/>
          <w:sz w:val="22"/>
          <w:szCs w:val="22"/>
        </w:rPr>
        <w:t>anagement</w:t>
      </w:r>
      <w:r w:rsidR="00F8146B" w:rsidRPr="00007146">
        <w:rPr>
          <w:rFonts w:asciiTheme="minorHAnsi" w:hAnsiTheme="minorHAnsi" w:cstheme="minorHAnsi"/>
          <w:b/>
          <w:color w:val="auto"/>
          <w:sz w:val="22"/>
          <w:szCs w:val="22"/>
        </w:rPr>
        <w:t xml:space="preserve"> p</w:t>
      </w:r>
      <w:r w:rsidR="00A275D6" w:rsidRPr="00007146">
        <w:rPr>
          <w:rFonts w:asciiTheme="minorHAnsi" w:hAnsiTheme="minorHAnsi" w:cstheme="minorHAnsi"/>
          <w:b/>
          <w:color w:val="auto"/>
          <w:sz w:val="22"/>
          <w:szCs w:val="22"/>
        </w:rPr>
        <w:t>rinciples</w:t>
      </w:r>
      <w:r w:rsidR="00593751" w:rsidRPr="00007146">
        <w:rPr>
          <w:rFonts w:asciiTheme="minorHAnsi" w:hAnsiTheme="minorHAnsi" w:cstheme="minorHAnsi"/>
          <w:b/>
          <w:color w:val="auto"/>
          <w:sz w:val="22"/>
          <w:szCs w:val="22"/>
        </w:rPr>
        <w:t xml:space="preserve"> </w:t>
      </w:r>
      <w:r w:rsidR="00643150" w:rsidRPr="00007146">
        <w:rPr>
          <w:rFonts w:asciiTheme="minorHAnsi" w:hAnsiTheme="minorHAnsi" w:cstheme="minorHAnsi"/>
          <w:b/>
          <w:color w:val="auto"/>
          <w:sz w:val="22"/>
          <w:szCs w:val="22"/>
        </w:rPr>
        <w:br/>
      </w:r>
      <w:r w:rsidR="005164A7" w:rsidRPr="00007146">
        <w:rPr>
          <w:rFonts w:asciiTheme="minorHAnsi" w:eastAsiaTheme="minorEastAsia" w:hAnsiTheme="minorHAnsi" w:cstheme="minorHAnsi"/>
          <w:color w:val="auto"/>
          <w:sz w:val="22"/>
          <w:szCs w:val="22"/>
        </w:rPr>
        <w:t>Active Gloucestershire</w:t>
      </w:r>
      <w:r w:rsidR="00157150" w:rsidRPr="00007146">
        <w:rPr>
          <w:rFonts w:asciiTheme="minorHAnsi" w:eastAsiaTheme="minorEastAsia" w:hAnsiTheme="minorHAnsi" w:cstheme="minorHAnsi"/>
          <w:color w:val="auto"/>
          <w:sz w:val="22"/>
          <w:szCs w:val="22"/>
        </w:rPr>
        <w:t>’s</w:t>
      </w:r>
      <w:r w:rsidR="005164A7" w:rsidRPr="00007146">
        <w:rPr>
          <w:rFonts w:asciiTheme="minorHAnsi" w:eastAsiaTheme="minorEastAsia" w:hAnsiTheme="minorHAnsi" w:cstheme="minorHAnsi"/>
          <w:color w:val="auto"/>
          <w:sz w:val="22"/>
          <w:szCs w:val="22"/>
        </w:rPr>
        <w:t xml:space="preserve"> Board has considered major risks to which the organisation is exposed and has </w:t>
      </w:r>
      <w:r w:rsidR="00117270" w:rsidRPr="00007146">
        <w:rPr>
          <w:rFonts w:asciiTheme="minorHAnsi" w:eastAsiaTheme="minorEastAsia" w:hAnsiTheme="minorHAnsi" w:cstheme="minorHAnsi"/>
          <w:color w:val="auto"/>
          <w:sz w:val="22"/>
          <w:szCs w:val="22"/>
        </w:rPr>
        <w:t>satisfied itself that systems and</w:t>
      </w:r>
      <w:r w:rsidR="005164A7" w:rsidRPr="00007146">
        <w:rPr>
          <w:rFonts w:asciiTheme="minorHAnsi" w:eastAsiaTheme="minorEastAsia" w:hAnsiTheme="minorHAnsi" w:cstheme="minorHAnsi"/>
          <w:color w:val="auto"/>
          <w:sz w:val="22"/>
          <w:szCs w:val="22"/>
        </w:rPr>
        <w:t xml:space="preserve"> procedures are in place in order to manage and mitigate those risks.</w:t>
      </w:r>
      <w:r w:rsidR="005164A7" w:rsidRPr="00007146">
        <w:rPr>
          <w:rFonts w:asciiTheme="minorHAnsi" w:hAnsiTheme="minorHAnsi" w:cstheme="minorHAnsi"/>
          <w:color w:val="auto"/>
          <w:sz w:val="22"/>
          <w:szCs w:val="22"/>
        </w:rPr>
        <w:t xml:space="preserve"> </w:t>
      </w:r>
      <w:r w:rsidR="005164A7" w:rsidRPr="00C0138D">
        <w:rPr>
          <w:rFonts w:asciiTheme="minorHAnsi" w:hAnsiTheme="minorHAnsi" w:cstheme="minorHAnsi"/>
          <w:color w:val="auto"/>
          <w:sz w:val="22"/>
          <w:szCs w:val="22"/>
        </w:rPr>
        <w:t>The following key principles outline Active Gloucestershire’s approach to risk management:</w:t>
      </w:r>
    </w:p>
    <w:p w14:paraId="1FA4F58C" w14:textId="77777777" w:rsidR="00C0138D" w:rsidRDefault="00C0138D" w:rsidP="00353F81">
      <w:pPr>
        <w:pStyle w:val="ListParagraph"/>
        <w:spacing w:after="0" w:line="240" w:lineRule="auto"/>
        <w:rPr>
          <w:rFonts w:cstheme="minorHAnsi"/>
        </w:rPr>
      </w:pPr>
    </w:p>
    <w:p w14:paraId="23C8D6C5" w14:textId="6EA65DC2" w:rsidR="005164A7" w:rsidRPr="00007146" w:rsidRDefault="00353F81" w:rsidP="00A06E2F">
      <w:pPr>
        <w:pStyle w:val="ListParagraph"/>
        <w:numPr>
          <w:ilvl w:val="0"/>
          <w:numId w:val="68"/>
        </w:numPr>
        <w:spacing w:after="0"/>
        <w:ind w:left="720"/>
        <w:rPr>
          <w:rFonts w:cstheme="minorHAnsi"/>
        </w:rPr>
      </w:pPr>
      <w:r>
        <w:rPr>
          <w:rFonts w:cstheme="minorHAnsi"/>
        </w:rPr>
        <w:t>T</w:t>
      </w:r>
      <w:r w:rsidR="005164A7" w:rsidRPr="00007146">
        <w:rPr>
          <w:rFonts w:cstheme="minorHAnsi"/>
        </w:rPr>
        <w:t xml:space="preserve">he Board </w:t>
      </w:r>
      <w:r w:rsidR="00F55CB5" w:rsidRPr="00007146">
        <w:rPr>
          <w:rFonts w:cstheme="minorHAnsi"/>
        </w:rPr>
        <w:t>is</w:t>
      </w:r>
      <w:r w:rsidR="005164A7" w:rsidRPr="00007146">
        <w:rPr>
          <w:rFonts w:cstheme="minorHAnsi"/>
        </w:rPr>
        <w:t xml:space="preserve"> </w:t>
      </w:r>
      <w:r w:rsidR="007735A3" w:rsidRPr="00007146">
        <w:rPr>
          <w:rFonts w:cstheme="minorHAnsi"/>
        </w:rPr>
        <w:t>responsible for risk management and there is an active risk register in operation</w:t>
      </w:r>
      <w:r w:rsidR="00BC00C3">
        <w:rPr>
          <w:rFonts w:cstheme="minorHAnsi"/>
        </w:rPr>
        <w:t>.</w:t>
      </w:r>
    </w:p>
    <w:p w14:paraId="4BECF497" w14:textId="7F67C9B2" w:rsidR="005164A7" w:rsidRPr="00007146" w:rsidRDefault="00DB6DF7" w:rsidP="00A06E2F">
      <w:pPr>
        <w:pStyle w:val="ListParagraph"/>
        <w:numPr>
          <w:ilvl w:val="0"/>
          <w:numId w:val="68"/>
        </w:numPr>
        <w:spacing w:after="0"/>
        <w:ind w:left="720"/>
        <w:rPr>
          <w:rFonts w:cstheme="minorHAnsi"/>
        </w:rPr>
      </w:pPr>
      <w:r w:rsidRPr="00007146">
        <w:rPr>
          <w:rFonts w:cstheme="minorHAnsi"/>
        </w:rPr>
        <w:t>I</w:t>
      </w:r>
      <w:r w:rsidR="005164A7" w:rsidRPr="00007146">
        <w:rPr>
          <w:rFonts w:cstheme="minorHAnsi"/>
        </w:rPr>
        <w:t>t is responsible for maintaining a sound system of inte</w:t>
      </w:r>
      <w:r w:rsidR="004F34F8" w:rsidRPr="00007146">
        <w:rPr>
          <w:rFonts w:cstheme="minorHAnsi"/>
        </w:rPr>
        <w:t xml:space="preserve">rnal control that supports the implementation </w:t>
      </w:r>
      <w:r w:rsidR="005164A7" w:rsidRPr="00007146">
        <w:rPr>
          <w:rFonts w:cstheme="minorHAnsi"/>
        </w:rPr>
        <w:t>of policies, whilst safeguarding the public and other funds and assets for which it is responsible</w:t>
      </w:r>
      <w:r w:rsidR="00BC00C3">
        <w:rPr>
          <w:rFonts w:cstheme="minorHAnsi"/>
        </w:rPr>
        <w:t>.</w:t>
      </w:r>
    </w:p>
    <w:p w14:paraId="5C702F2D" w14:textId="4BB19E89" w:rsidR="005164A7" w:rsidRPr="00007146" w:rsidRDefault="00DB6DF7" w:rsidP="00A06E2F">
      <w:pPr>
        <w:pStyle w:val="ListParagraph"/>
        <w:numPr>
          <w:ilvl w:val="0"/>
          <w:numId w:val="68"/>
        </w:numPr>
        <w:spacing w:after="0"/>
        <w:ind w:left="720"/>
        <w:rPr>
          <w:rFonts w:cstheme="minorHAnsi"/>
        </w:rPr>
      </w:pPr>
      <w:r w:rsidRPr="00007146">
        <w:rPr>
          <w:rFonts w:cstheme="minorHAnsi"/>
        </w:rPr>
        <w:t>T</w:t>
      </w:r>
      <w:r w:rsidR="005164A7" w:rsidRPr="00007146">
        <w:rPr>
          <w:rFonts w:cstheme="minorHAnsi"/>
        </w:rPr>
        <w:t>here is an open and receptive approach to solving risk problems</w:t>
      </w:r>
      <w:r w:rsidR="00BC00C3">
        <w:rPr>
          <w:rFonts w:cstheme="minorHAnsi"/>
        </w:rPr>
        <w:t>.</w:t>
      </w:r>
    </w:p>
    <w:p w14:paraId="55D71094" w14:textId="3AEA19F1" w:rsidR="005164A7" w:rsidRDefault="005164A7" w:rsidP="00A06E2F">
      <w:pPr>
        <w:pStyle w:val="ListParagraph"/>
        <w:numPr>
          <w:ilvl w:val="0"/>
          <w:numId w:val="68"/>
        </w:numPr>
        <w:spacing w:after="0"/>
        <w:ind w:left="720"/>
        <w:rPr>
          <w:rFonts w:cstheme="minorHAnsi"/>
        </w:rPr>
      </w:pPr>
      <w:r w:rsidRPr="00007146">
        <w:rPr>
          <w:rFonts w:cstheme="minorHAnsi"/>
        </w:rPr>
        <w:t>Active Gloucestershire makes prudent recognition and disclosure of the financial and non-financial implications of risks</w:t>
      </w:r>
      <w:r w:rsidR="00BC00C3">
        <w:rPr>
          <w:rFonts w:cstheme="minorHAnsi"/>
        </w:rPr>
        <w:t>.</w:t>
      </w:r>
    </w:p>
    <w:p w14:paraId="18065756" w14:textId="58CFC7E3" w:rsidR="004A2018" w:rsidRDefault="004A2018" w:rsidP="00A06E2F">
      <w:pPr>
        <w:pStyle w:val="ListParagraph"/>
        <w:numPr>
          <w:ilvl w:val="0"/>
          <w:numId w:val="68"/>
        </w:numPr>
        <w:spacing w:after="0"/>
        <w:ind w:left="720"/>
        <w:rPr>
          <w:rFonts w:cstheme="minorHAnsi"/>
        </w:rPr>
      </w:pPr>
      <w:r>
        <w:rPr>
          <w:rFonts w:cstheme="minorHAnsi"/>
        </w:rPr>
        <w:t>Active Gloucestershire senior staff are encouraging and implementing good risk management.</w:t>
      </w:r>
    </w:p>
    <w:p w14:paraId="456C179E" w14:textId="77777777" w:rsidR="00122980" w:rsidRDefault="00122980" w:rsidP="00122980">
      <w:pPr>
        <w:pStyle w:val="ListParagraph"/>
        <w:spacing w:after="0"/>
        <w:ind w:left="284"/>
        <w:rPr>
          <w:rFonts w:cstheme="minorHAnsi"/>
        </w:rPr>
      </w:pPr>
    </w:p>
    <w:p w14:paraId="40A5969B" w14:textId="5FDD0898" w:rsidR="00E61A3C" w:rsidRPr="00017BA4" w:rsidRDefault="00124E51" w:rsidP="00017BA4">
      <w:pPr>
        <w:spacing w:after="0"/>
        <w:rPr>
          <w:rFonts w:cstheme="minorHAnsi"/>
        </w:rPr>
      </w:pPr>
      <w:r w:rsidRPr="00017BA4">
        <w:rPr>
          <w:rFonts w:cstheme="minorHAnsi"/>
          <w:b/>
        </w:rPr>
        <w:t>10.0</w:t>
      </w:r>
      <w:r w:rsidR="00556144" w:rsidRPr="00017BA4">
        <w:rPr>
          <w:rFonts w:cstheme="minorHAnsi"/>
          <w:b/>
        </w:rPr>
        <w:t xml:space="preserve"> </w:t>
      </w:r>
      <w:r w:rsidR="00F8146B" w:rsidRPr="00017BA4">
        <w:rPr>
          <w:rFonts w:cstheme="minorHAnsi"/>
          <w:b/>
        </w:rPr>
        <w:t>Internal c</w:t>
      </w:r>
      <w:r w:rsidR="00593751" w:rsidRPr="00017BA4">
        <w:rPr>
          <w:rFonts w:cstheme="minorHAnsi"/>
          <w:b/>
        </w:rPr>
        <w:t>ontrols</w:t>
      </w:r>
      <w:r w:rsidR="00643150" w:rsidRPr="00017BA4">
        <w:rPr>
          <w:rFonts w:cstheme="minorHAnsi"/>
          <w:b/>
        </w:rPr>
        <w:br/>
      </w:r>
      <w:r w:rsidR="00230197" w:rsidRPr="00017BA4">
        <w:rPr>
          <w:rFonts w:cstheme="minorHAnsi"/>
        </w:rPr>
        <w:t>In addition to the Memorandum and</w:t>
      </w:r>
      <w:r w:rsidR="00593751" w:rsidRPr="00017BA4">
        <w:rPr>
          <w:rFonts w:cstheme="minorHAnsi"/>
        </w:rPr>
        <w:t xml:space="preserve"> Articles</w:t>
      </w:r>
      <w:r w:rsidR="00230197" w:rsidRPr="00017BA4">
        <w:rPr>
          <w:rFonts w:cstheme="minorHAnsi"/>
        </w:rPr>
        <w:t xml:space="preserve"> of Association</w:t>
      </w:r>
      <w:r w:rsidR="00593751" w:rsidRPr="00017BA4">
        <w:rPr>
          <w:rFonts w:cstheme="minorHAnsi"/>
        </w:rPr>
        <w:t xml:space="preserve">, </w:t>
      </w:r>
      <w:r w:rsidR="002C5C44" w:rsidRPr="00017BA4">
        <w:rPr>
          <w:rFonts w:cstheme="minorHAnsi"/>
        </w:rPr>
        <w:t xml:space="preserve">which </w:t>
      </w:r>
      <w:r w:rsidR="00593751" w:rsidRPr="00017BA4">
        <w:rPr>
          <w:rFonts w:cstheme="minorHAnsi"/>
        </w:rPr>
        <w:t>outlin</w:t>
      </w:r>
      <w:r w:rsidR="002C5C44" w:rsidRPr="00017BA4">
        <w:rPr>
          <w:rFonts w:cstheme="minorHAnsi"/>
        </w:rPr>
        <w:t>es</w:t>
      </w:r>
      <w:r w:rsidR="00593751" w:rsidRPr="00017BA4">
        <w:rPr>
          <w:rFonts w:cstheme="minorHAnsi"/>
        </w:rPr>
        <w:t xml:space="preserve"> the way in which Active Gloucestershire is run</w:t>
      </w:r>
      <w:r w:rsidR="002B1A0D" w:rsidRPr="00017BA4">
        <w:rPr>
          <w:rFonts w:cstheme="minorHAnsi"/>
        </w:rPr>
        <w:t xml:space="preserve"> and</w:t>
      </w:r>
      <w:r w:rsidR="00593751" w:rsidRPr="00017BA4">
        <w:rPr>
          <w:rFonts w:cstheme="minorHAnsi"/>
        </w:rPr>
        <w:t xml:space="preserve"> governed, the Board has </w:t>
      </w:r>
      <w:r w:rsidR="002C5C44" w:rsidRPr="00017BA4">
        <w:rPr>
          <w:rFonts w:cstheme="minorHAnsi"/>
        </w:rPr>
        <w:t xml:space="preserve">in place several </w:t>
      </w:r>
      <w:r w:rsidR="00593751" w:rsidRPr="00017BA4">
        <w:rPr>
          <w:rFonts w:cstheme="minorHAnsi"/>
        </w:rPr>
        <w:t xml:space="preserve">systems </w:t>
      </w:r>
      <w:r w:rsidR="002C5C44" w:rsidRPr="00017BA4">
        <w:rPr>
          <w:rFonts w:cstheme="minorHAnsi"/>
        </w:rPr>
        <w:t xml:space="preserve">that </w:t>
      </w:r>
      <w:r w:rsidR="00593751" w:rsidRPr="00017BA4">
        <w:rPr>
          <w:rFonts w:cstheme="minorHAnsi"/>
        </w:rPr>
        <w:t>set the int</w:t>
      </w:r>
      <w:r w:rsidR="009570C2" w:rsidRPr="00017BA4">
        <w:rPr>
          <w:rFonts w:cstheme="minorHAnsi"/>
        </w:rPr>
        <w:t>ernal control environment</w:t>
      </w:r>
      <w:r w:rsidR="00E61A3C" w:rsidRPr="00017BA4">
        <w:rPr>
          <w:rFonts w:cstheme="minorHAnsi"/>
        </w:rPr>
        <w:t>. These include:</w:t>
      </w:r>
      <w:r w:rsidR="00154992" w:rsidRPr="00017BA4">
        <w:rPr>
          <w:rFonts w:cstheme="minorHAnsi"/>
        </w:rPr>
        <w:br/>
      </w:r>
      <w:r w:rsidR="00017BA4">
        <w:rPr>
          <w:rFonts w:cstheme="minorHAnsi"/>
        </w:rPr>
        <w:t xml:space="preserve">   </w:t>
      </w:r>
    </w:p>
    <w:p w14:paraId="58A8252E" w14:textId="6C9BD500" w:rsidR="00E61A3C" w:rsidRPr="00007146" w:rsidRDefault="00DB6DF7" w:rsidP="000D49D5">
      <w:pPr>
        <w:pStyle w:val="Heading2"/>
        <w:numPr>
          <w:ilvl w:val="1"/>
          <w:numId w:val="31"/>
        </w:numPr>
        <w:spacing w:before="0" w:line="240" w:lineRule="auto"/>
        <w:rPr>
          <w:rFonts w:asciiTheme="minorHAnsi" w:eastAsiaTheme="minorEastAsia" w:hAnsiTheme="minorHAnsi" w:cstheme="minorHAnsi"/>
          <w:color w:val="auto"/>
          <w:sz w:val="22"/>
          <w:szCs w:val="22"/>
        </w:rPr>
      </w:pPr>
      <w:r w:rsidRPr="00007146">
        <w:rPr>
          <w:rFonts w:asciiTheme="minorHAnsi" w:eastAsiaTheme="minorEastAsia" w:hAnsiTheme="minorHAnsi" w:cstheme="minorHAnsi"/>
          <w:color w:val="auto"/>
          <w:sz w:val="22"/>
          <w:szCs w:val="22"/>
        </w:rPr>
        <w:t xml:space="preserve">A </w:t>
      </w:r>
      <w:r w:rsidR="00E61A3C" w:rsidRPr="00007146">
        <w:rPr>
          <w:rFonts w:asciiTheme="minorHAnsi" w:eastAsiaTheme="minorEastAsia" w:hAnsiTheme="minorHAnsi" w:cstheme="minorHAnsi"/>
          <w:color w:val="auto"/>
          <w:sz w:val="22"/>
          <w:szCs w:val="22"/>
        </w:rPr>
        <w:t xml:space="preserve">policies manual </w:t>
      </w:r>
      <w:r w:rsidR="002C5C44" w:rsidRPr="00007146">
        <w:rPr>
          <w:rFonts w:asciiTheme="minorHAnsi" w:eastAsiaTheme="minorEastAsia" w:hAnsiTheme="minorHAnsi" w:cstheme="minorHAnsi"/>
          <w:color w:val="auto"/>
          <w:sz w:val="22"/>
          <w:szCs w:val="22"/>
        </w:rPr>
        <w:t xml:space="preserve">which includes </w:t>
      </w:r>
      <w:r w:rsidR="00593751" w:rsidRPr="00007146">
        <w:rPr>
          <w:rFonts w:asciiTheme="minorHAnsi" w:eastAsiaTheme="minorEastAsia" w:hAnsiTheme="minorHAnsi" w:cstheme="minorHAnsi"/>
          <w:color w:val="auto"/>
          <w:sz w:val="22"/>
          <w:szCs w:val="22"/>
        </w:rPr>
        <w:t xml:space="preserve">policies on anti-bribery, fraud, disciplinary, grievance and </w:t>
      </w:r>
      <w:r w:rsidR="002E6D42" w:rsidRPr="00007146">
        <w:rPr>
          <w:rFonts w:asciiTheme="minorHAnsi" w:eastAsiaTheme="minorEastAsia" w:hAnsiTheme="minorHAnsi" w:cstheme="minorHAnsi"/>
          <w:color w:val="auto"/>
          <w:sz w:val="22"/>
          <w:szCs w:val="22"/>
        </w:rPr>
        <w:t>whistleblowing</w:t>
      </w:r>
    </w:p>
    <w:p w14:paraId="0477B01F" w14:textId="31476028" w:rsidR="00E61A3C" w:rsidRPr="00007146" w:rsidRDefault="00DB6DF7" w:rsidP="000D49D5">
      <w:pPr>
        <w:pStyle w:val="Heading2"/>
        <w:numPr>
          <w:ilvl w:val="1"/>
          <w:numId w:val="31"/>
        </w:numPr>
        <w:spacing w:before="0" w:line="240" w:lineRule="auto"/>
        <w:rPr>
          <w:rFonts w:asciiTheme="minorHAnsi" w:eastAsiaTheme="minorEastAsia" w:hAnsiTheme="minorHAnsi" w:cstheme="minorHAnsi"/>
          <w:color w:val="auto"/>
          <w:sz w:val="22"/>
          <w:szCs w:val="22"/>
        </w:rPr>
      </w:pPr>
      <w:r w:rsidRPr="00007146">
        <w:rPr>
          <w:rFonts w:asciiTheme="minorHAnsi" w:eastAsiaTheme="minorEastAsia" w:hAnsiTheme="minorHAnsi" w:cstheme="minorHAnsi"/>
          <w:color w:val="auto"/>
          <w:sz w:val="22"/>
          <w:szCs w:val="22"/>
        </w:rPr>
        <w:t>A</w:t>
      </w:r>
      <w:r w:rsidR="00E61A3C" w:rsidRPr="00007146">
        <w:rPr>
          <w:rFonts w:asciiTheme="minorHAnsi" w:eastAsiaTheme="minorEastAsia" w:hAnsiTheme="minorHAnsi" w:cstheme="minorHAnsi"/>
          <w:color w:val="auto"/>
          <w:sz w:val="22"/>
          <w:szCs w:val="22"/>
        </w:rPr>
        <w:t xml:space="preserve"> health and safety handbook containing all policies related to health and safety at work</w:t>
      </w:r>
    </w:p>
    <w:p w14:paraId="02266FF7" w14:textId="1A409B73" w:rsidR="00E61A3C" w:rsidRPr="00007146" w:rsidRDefault="00DB6DF7" w:rsidP="000D49D5">
      <w:pPr>
        <w:pStyle w:val="Heading2"/>
        <w:numPr>
          <w:ilvl w:val="1"/>
          <w:numId w:val="31"/>
        </w:numPr>
        <w:spacing w:before="0" w:line="240" w:lineRule="auto"/>
        <w:rPr>
          <w:rFonts w:asciiTheme="minorHAnsi" w:eastAsiaTheme="minorEastAsia" w:hAnsiTheme="minorHAnsi" w:cstheme="minorHAnsi"/>
          <w:color w:val="auto"/>
          <w:sz w:val="22"/>
          <w:szCs w:val="22"/>
        </w:rPr>
      </w:pPr>
      <w:r w:rsidRPr="00007146">
        <w:rPr>
          <w:rFonts w:asciiTheme="minorHAnsi" w:eastAsiaTheme="minorEastAsia" w:hAnsiTheme="minorHAnsi" w:cstheme="minorHAnsi"/>
          <w:color w:val="auto"/>
          <w:sz w:val="22"/>
          <w:szCs w:val="22"/>
        </w:rPr>
        <w:t>A</w:t>
      </w:r>
      <w:r w:rsidR="00E61A3C" w:rsidRPr="00007146">
        <w:rPr>
          <w:rFonts w:asciiTheme="minorHAnsi" w:eastAsiaTheme="minorEastAsia" w:hAnsiTheme="minorHAnsi" w:cstheme="minorHAnsi"/>
          <w:color w:val="auto"/>
          <w:sz w:val="22"/>
          <w:szCs w:val="22"/>
        </w:rPr>
        <w:t xml:space="preserve"> safeguarding handbook, containing Active Gloucestershire’s child protection and adults at risk policies</w:t>
      </w:r>
    </w:p>
    <w:p w14:paraId="3EC1C12E" w14:textId="3B98581B" w:rsidR="00E61A3C" w:rsidRPr="00007146" w:rsidRDefault="00DB6DF7" w:rsidP="000D49D5">
      <w:pPr>
        <w:pStyle w:val="Heading2"/>
        <w:numPr>
          <w:ilvl w:val="1"/>
          <w:numId w:val="31"/>
        </w:numPr>
        <w:spacing w:before="0" w:line="240" w:lineRule="auto"/>
        <w:rPr>
          <w:rFonts w:asciiTheme="minorHAnsi" w:eastAsiaTheme="minorEastAsia" w:hAnsiTheme="minorHAnsi" w:cstheme="minorHAnsi"/>
          <w:color w:val="auto"/>
          <w:sz w:val="22"/>
          <w:szCs w:val="22"/>
        </w:rPr>
      </w:pPr>
      <w:r w:rsidRPr="00007146">
        <w:rPr>
          <w:rFonts w:asciiTheme="minorHAnsi" w:eastAsiaTheme="minorEastAsia" w:hAnsiTheme="minorHAnsi" w:cstheme="minorHAnsi"/>
          <w:color w:val="auto"/>
          <w:sz w:val="22"/>
          <w:szCs w:val="22"/>
        </w:rPr>
        <w:t>A</w:t>
      </w:r>
      <w:r w:rsidR="00E61A3C" w:rsidRPr="00007146">
        <w:rPr>
          <w:rFonts w:asciiTheme="minorHAnsi" w:eastAsiaTheme="minorEastAsia" w:hAnsiTheme="minorHAnsi" w:cstheme="minorHAnsi"/>
          <w:color w:val="auto"/>
          <w:sz w:val="22"/>
          <w:szCs w:val="22"/>
        </w:rPr>
        <w:t xml:space="preserve"> culture handbook, showcasing the way in which we work</w:t>
      </w:r>
      <w:r w:rsidR="002C5C44" w:rsidRPr="00007146">
        <w:rPr>
          <w:rFonts w:asciiTheme="minorHAnsi" w:eastAsiaTheme="minorEastAsia" w:hAnsiTheme="minorHAnsi" w:cstheme="minorHAnsi"/>
          <w:color w:val="auto"/>
          <w:sz w:val="22"/>
          <w:szCs w:val="22"/>
        </w:rPr>
        <w:t xml:space="preserve"> </w:t>
      </w:r>
      <w:r w:rsidR="00E61A3C" w:rsidRPr="00007146">
        <w:rPr>
          <w:rFonts w:asciiTheme="minorHAnsi" w:eastAsiaTheme="minorEastAsia" w:hAnsiTheme="minorHAnsi" w:cstheme="minorHAnsi"/>
          <w:color w:val="auto"/>
          <w:sz w:val="22"/>
          <w:szCs w:val="22"/>
        </w:rPr>
        <w:t>an</w:t>
      </w:r>
      <w:r w:rsidR="002C5C44" w:rsidRPr="00007146">
        <w:rPr>
          <w:rFonts w:asciiTheme="minorHAnsi" w:eastAsiaTheme="minorEastAsia" w:hAnsiTheme="minorHAnsi" w:cstheme="minorHAnsi"/>
          <w:color w:val="auto"/>
          <w:sz w:val="22"/>
          <w:szCs w:val="22"/>
        </w:rPr>
        <w:t>d</w:t>
      </w:r>
      <w:r w:rsidR="00E61A3C" w:rsidRPr="00007146">
        <w:rPr>
          <w:rFonts w:asciiTheme="minorHAnsi" w:eastAsiaTheme="minorEastAsia" w:hAnsiTheme="minorHAnsi" w:cstheme="minorHAnsi"/>
          <w:color w:val="auto"/>
          <w:sz w:val="22"/>
          <w:szCs w:val="22"/>
        </w:rPr>
        <w:t xml:space="preserve"> our values and beliefs</w:t>
      </w:r>
    </w:p>
    <w:p w14:paraId="65143B17" w14:textId="2EEEF861" w:rsidR="00556144" w:rsidRDefault="00DB6DF7" w:rsidP="000D49D5">
      <w:pPr>
        <w:pStyle w:val="Heading2"/>
        <w:numPr>
          <w:ilvl w:val="1"/>
          <w:numId w:val="31"/>
        </w:numPr>
        <w:spacing w:before="0" w:line="240" w:lineRule="auto"/>
        <w:rPr>
          <w:rFonts w:asciiTheme="minorHAnsi" w:eastAsiaTheme="minorEastAsia" w:hAnsiTheme="minorHAnsi" w:cstheme="minorHAnsi"/>
          <w:color w:val="auto"/>
          <w:sz w:val="22"/>
          <w:szCs w:val="22"/>
        </w:rPr>
      </w:pPr>
      <w:r w:rsidRPr="00007146">
        <w:rPr>
          <w:rFonts w:asciiTheme="minorHAnsi" w:eastAsiaTheme="minorEastAsia" w:hAnsiTheme="minorHAnsi" w:cstheme="minorHAnsi"/>
          <w:color w:val="auto"/>
          <w:sz w:val="22"/>
          <w:szCs w:val="22"/>
        </w:rPr>
        <w:t>A</w:t>
      </w:r>
      <w:r w:rsidR="00EE55AF" w:rsidRPr="00007146">
        <w:rPr>
          <w:rFonts w:asciiTheme="minorHAnsi" w:eastAsiaTheme="minorEastAsia" w:hAnsiTheme="minorHAnsi" w:cstheme="minorHAnsi"/>
          <w:color w:val="auto"/>
          <w:sz w:val="22"/>
          <w:szCs w:val="22"/>
        </w:rPr>
        <w:t xml:space="preserve"> T</w:t>
      </w:r>
      <w:r w:rsidR="009570C2" w:rsidRPr="00007146">
        <w:rPr>
          <w:rFonts w:asciiTheme="minorHAnsi" w:eastAsiaTheme="minorEastAsia" w:hAnsiTheme="minorHAnsi" w:cstheme="minorHAnsi"/>
          <w:color w:val="auto"/>
          <w:sz w:val="22"/>
          <w:szCs w:val="22"/>
        </w:rPr>
        <w:t>rustee h</w:t>
      </w:r>
      <w:r w:rsidR="00593751" w:rsidRPr="00007146">
        <w:rPr>
          <w:rFonts w:asciiTheme="minorHAnsi" w:eastAsiaTheme="minorEastAsia" w:hAnsiTheme="minorHAnsi" w:cstheme="minorHAnsi"/>
          <w:color w:val="auto"/>
          <w:sz w:val="22"/>
          <w:szCs w:val="22"/>
        </w:rPr>
        <w:t>andbook which covers Board recruitment, risk management and a code of conduct</w:t>
      </w:r>
    </w:p>
    <w:p w14:paraId="20BB5F82" w14:textId="50EC602A" w:rsidR="00317954" w:rsidRPr="00317954" w:rsidRDefault="00317954" w:rsidP="00317954">
      <w:pPr>
        <w:pStyle w:val="ListParagraph"/>
        <w:numPr>
          <w:ilvl w:val="1"/>
          <w:numId w:val="31"/>
        </w:numPr>
      </w:pPr>
      <w:r w:rsidRPr="00017BA4">
        <w:rPr>
          <w:rFonts w:cstheme="minorHAnsi"/>
        </w:rPr>
        <w:t>A financial procedures manual</w:t>
      </w:r>
    </w:p>
    <w:p w14:paraId="58584DFA" w14:textId="77777777" w:rsidR="009D4D2E" w:rsidRPr="00007146" w:rsidRDefault="009D4D2E" w:rsidP="00556144">
      <w:pPr>
        <w:spacing w:after="0"/>
        <w:rPr>
          <w:rFonts w:cstheme="minorHAnsi"/>
          <w:color w:val="2F5496" w:themeColor="accent5" w:themeShade="BF"/>
        </w:rPr>
      </w:pPr>
    </w:p>
    <w:p w14:paraId="154D3978" w14:textId="166CB389" w:rsidR="00F45F00" w:rsidRPr="00007146" w:rsidRDefault="00124E51" w:rsidP="00F45F00">
      <w:pPr>
        <w:pStyle w:val="Heading2"/>
        <w:spacing w:before="0"/>
        <w:ind w:left="284"/>
        <w:rPr>
          <w:rFonts w:asciiTheme="minorHAnsi" w:hAnsiTheme="minorHAnsi" w:cstheme="minorHAnsi"/>
          <w:b/>
          <w:color w:val="auto"/>
          <w:sz w:val="22"/>
          <w:szCs w:val="22"/>
        </w:rPr>
      </w:pPr>
      <w:r w:rsidRPr="00007146">
        <w:rPr>
          <w:rFonts w:asciiTheme="minorHAnsi" w:hAnsiTheme="minorHAnsi" w:cstheme="minorHAnsi"/>
          <w:b/>
          <w:color w:val="auto"/>
          <w:sz w:val="22"/>
          <w:szCs w:val="22"/>
        </w:rPr>
        <w:t>11.0</w:t>
      </w:r>
      <w:r w:rsidR="00556144" w:rsidRPr="00007146">
        <w:rPr>
          <w:rFonts w:asciiTheme="minorHAnsi" w:hAnsiTheme="minorHAnsi" w:cstheme="minorHAnsi"/>
          <w:b/>
          <w:color w:val="auto"/>
          <w:sz w:val="22"/>
          <w:szCs w:val="22"/>
        </w:rPr>
        <w:t xml:space="preserve"> </w:t>
      </w:r>
      <w:r w:rsidR="004D6CDF" w:rsidRPr="00007146">
        <w:rPr>
          <w:rFonts w:asciiTheme="minorHAnsi" w:hAnsiTheme="minorHAnsi" w:cstheme="minorHAnsi"/>
          <w:b/>
          <w:color w:val="auto"/>
          <w:sz w:val="22"/>
          <w:szCs w:val="22"/>
        </w:rPr>
        <w:t xml:space="preserve">Changes to </w:t>
      </w:r>
      <w:r w:rsidR="00F8146B" w:rsidRPr="00007146">
        <w:rPr>
          <w:rFonts w:asciiTheme="minorHAnsi" w:hAnsiTheme="minorHAnsi" w:cstheme="minorHAnsi"/>
          <w:b/>
          <w:color w:val="auto"/>
          <w:sz w:val="22"/>
          <w:szCs w:val="22"/>
        </w:rPr>
        <w:t>risk a</w:t>
      </w:r>
      <w:r w:rsidR="00EC5DCD" w:rsidRPr="00007146">
        <w:rPr>
          <w:rFonts w:asciiTheme="minorHAnsi" w:hAnsiTheme="minorHAnsi" w:cstheme="minorHAnsi"/>
          <w:b/>
          <w:color w:val="auto"/>
          <w:sz w:val="22"/>
          <w:szCs w:val="22"/>
        </w:rPr>
        <w:t>ppetite</w:t>
      </w:r>
      <w:r w:rsidR="00F8146B" w:rsidRPr="00007146">
        <w:rPr>
          <w:rFonts w:asciiTheme="minorHAnsi" w:hAnsiTheme="minorHAnsi" w:cstheme="minorHAnsi"/>
          <w:b/>
          <w:color w:val="auto"/>
          <w:sz w:val="22"/>
          <w:szCs w:val="22"/>
        </w:rPr>
        <w:t xml:space="preserve"> - handling new delivery r</w:t>
      </w:r>
      <w:r w:rsidR="004D6CDF" w:rsidRPr="00007146">
        <w:rPr>
          <w:rFonts w:asciiTheme="minorHAnsi" w:hAnsiTheme="minorHAnsi" w:cstheme="minorHAnsi"/>
          <w:b/>
          <w:color w:val="auto"/>
          <w:sz w:val="22"/>
          <w:szCs w:val="22"/>
        </w:rPr>
        <w:t xml:space="preserve">isks </w:t>
      </w:r>
    </w:p>
    <w:p w14:paraId="11F054E8" w14:textId="2EB81575" w:rsidR="002C5C44" w:rsidRDefault="0054735A" w:rsidP="00F45F00">
      <w:pPr>
        <w:pStyle w:val="Heading2"/>
        <w:spacing w:before="0"/>
        <w:ind w:left="284"/>
        <w:rPr>
          <w:rFonts w:asciiTheme="minorHAnsi" w:eastAsiaTheme="minorEastAsia" w:hAnsiTheme="minorHAnsi" w:cstheme="minorHAnsi"/>
          <w:color w:val="auto"/>
          <w:sz w:val="22"/>
          <w:szCs w:val="22"/>
        </w:rPr>
      </w:pPr>
      <w:r w:rsidRPr="00007146">
        <w:rPr>
          <w:rFonts w:asciiTheme="minorHAnsi" w:eastAsiaTheme="minorEastAsia" w:hAnsiTheme="minorHAnsi" w:cstheme="minorHAnsi"/>
          <w:color w:val="auto"/>
          <w:sz w:val="22"/>
          <w:szCs w:val="22"/>
        </w:rPr>
        <w:t xml:space="preserve">The table below highlights some </w:t>
      </w:r>
      <w:r w:rsidR="00B9320A" w:rsidRPr="00007146">
        <w:rPr>
          <w:rFonts w:asciiTheme="minorHAnsi" w:eastAsiaTheme="minorEastAsia" w:hAnsiTheme="minorHAnsi" w:cstheme="minorHAnsi"/>
          <w:color w:val="auto"/>
          <w:sz w:val="22"/>
          <w:szCs w:val="22"/>
        </w:rPr>
        <w:t>of the potential</w:t>
      </w:r>
      <w:r w:rsidRPr="00007146">
        <w:rPr>
          <w:rFonts w:asciiTheme="minorHAnsi" w:eastAsiaTheme="minorEastAsia" w:hAnsiTheme="minorHAnsi" w:cstheme="minorHAnsi"/>
          <w:color w:val="auto"/>
          <w:sz w:val="22"/>
          <w:szCs w:val="22"/>
        </w:rPr>
        <w:t xml:space="preserve"> reputational</w:t>
      </w:r>
      <w:r w:rsidR="00B9320A" w:rsidRPr="00007146">
        <w:rPr>
          <w:rFonts w:asciiTheme="minorHAnsi" w:eastAsiaTheme="minorEastAsia" w:hAnsiTheme="minorHAnsi" w:cstheme="minorHAnsi"/>
          <w:color w:val="auto"/>
          <w:sz w:val="22"/>
          <w:szCs w:val="22"/>
        </w:rPr>
        <w:t xml:space="preserve"> and operational</w:t>
      </w:r>
      <w:r w:rsidRPr="00007146">
        <w:rPr>
          <w:rFonts w:asciiTheme="minorHAnsi" w:eastAsiaTheme="minorEastAsia" w:hAnsiTheme="minorHAnsi" w:cstheme="minorHAnsi"/>
          <w:color w:val="auto"/>
          <w:sz w:val="22"/>
          <w:szCs w:val="22"/>
        </w:rPr>
        <w:t xml:space="preserve"> risks that </w:t>
      </w:r>
      <w:r w:rsidR="00C42547" w:rsidRPr="00007146">
        <w:rPr>
          <w:rFonts w:asciiTheme="minorHAnsi" w:eastAsiaTheme="minorEastAsia" w:hAnsiTheme="minorHAnsi" w:cstheme="minorHAnsi"/>
          <w:color w:val="auto"/>
          <w:sz w:val="22"/>
          <w:szCs w:val="22"/>
        </w:rPr>
        <w:t xml:space="preserve">Active Gloucestershire </w:t>
      </w:r>
      <w:r w:rsidRPr="00007146">
        <w:rPr>
          <w:rFonts w:asciiTheme="minorHAnsi" w:eastAsiaTheme="minorEastAsia" w:hAnsiTheme="minorHAnsi" w:cstheme="minorHAnsi"/>
          <w:color w:val="auto"/>
          <w:sz w:val="22"/>
          <w:szCs w:val="22"/>
        </w:rPr>
        <w:t>may fac</w:t>
      </w:r>
      <w:r w:rsidR="00E131D3" w:rsidRPr="00007146">
        <w:rPr>
          <w:rFonts w:asciiTheme="minorHAnsi" w:eastAsiaTheme="minorEastAsia" w:hAnsiTheme="minorHAnsi" w:cstheme="minorHAnsi"/>
          <w:color w:val="auto"/>
          <w:sz w:val="22"/>
          <w:szCs w:val="22"/>
        </w:rPr>
        <w:t xml:space="preserve">e during the delivery of </w:t>
      </w:r>
      <w:r w:rsidR="00C42547" w:rsidRPr="00007146">
        <w:rPr>
          <w:rFonts w:asciiTheme="minorHAnsi" w:eastAsiaTheme="minorEastAsia" w:hAnsiTheme="minorHAnsi" w:cstheme="minorHAnsi"/>
          <w:color w:val="auto"/>
          <w:sz w:val="22"/>
          <w:szCs w:val="22"/>
        </w:rPr>
        <w:t>its</w:t>
      </w:r>
      <w:r w:rsidRPr="00007146">
        <w:rPr>
          <w:rFonts w:asciiTheme="minorHAnsi" w:eastAsiaTheme="minorEastAsia" w:hAnsiTheme="minorHAnsi" w:cstheme="minorHAnsi"/>
          <w:color w:val="auto"/>
          <w:sz w:val="22"/>
          <w:szCs w:val="22"/>
        </w:rPr>
        <w:t xml:space="preserve"> </w:t>
      </w:r>
      <w:r w:rsidR="00CD1EBF" w:rsidRPr="00007146">
        <w:rPr>
          <w:rFonts w:asciiTheme="minorHAnsi" w:eastAsiaTheme="minorEastAsia" w:hAnsiTheme="minorHAnsi" w:cstheme="minorHAnsi"/>
          <w:color w:val="auto"/>
          <w:sz w:val="22"/>
          <w:szCs w:val="22"/>
        </w:rPr>
        <w:t>business plan</w:t>
      </w:r>
      <w:r w:rsidR="00C42547" w:rsidRPr="00007146">
        <w:rPr>
          <w:rFonts w:asciiTheme="minorHAnsi" w:eastAsiaTheme="minorEastAsia" w:hAnsiTheme="minorHAnsi" w:cstheme="minorHAnsi"/>
          <w:color w:val="auto"/>
          <w:sz w:val="22"/>
          <w:szCs w:val="22"/>
        </w:rPr>
        <w:t xml:space="preserve"> in </w:t>
      </w:r>
      <w:r w:rsidR="001D28F6" w:rsidRPr="00007146">
        <w:rPr>
          <w:rFonts w:asciiTheme="minorHAnsi" w:eastAsiaTheme="minorEastAsia" w:hAnsiTheme="minorHAnsi" w:cstheme="minorHAnsi"/>
          <w:color w:val="auto"/>
          <w:sz w:val="22"/>
          <w:szCs w:val="22"/>
        </w:rPr>
        <w:t>202</w:t>
      </w:r>
      <w:r w:rsidR="00DF2FD0" w:rsidRPr="00007146">
        <w:rPr>
          <w:rFonts w:asciiTheme="minorHAnsi" w:eastAsiaTheme="minorEastAsia" w:hAnsiTheme="minorHAnsi" w:cstheme="minorHAnsi"/>
          <w:color w:val="auto"/>
          <w:sz w:val="22"/>
          <w:szCs w:val="22"/>
        </w:rPr>
        <w:t>1</w:t>
      </w:r>
      <w:r w:rsidR="001D28F6" w:rsidRPr="00007146">
        <w:rPr>
          <w:rFonts w:asciiTheme="minorHAnsi" w:eastAsiaTheme="minorEastAsia" w:hAnsiTheme="minorHAnsi" w:cstheme="minorHAnsi"/>
          <w:color w:val="auto"/>
          <w:sz w:val="22"/>
          <w:szCs w:val="22"/>
        </w:rPr>
        <w:t>-202</w:t>
      </w:r>
      <w:r w:rsidR="00DF2FD0" w:rsidRPr="00007146">
        <w:rPr>
          <w:rFonts w:asciiTheme="minorHAnsi" w:eastAsiaTheme="minorEastAsia" w:hAnsiTheme="minorHAnsi" w:cstheme="minorHAnsi"/>
          <w:color w:val="auto"/>
          <w:sz w:val="22"/>
          <w:szCs w:val="22"/>
        </w:rPr>
        <w:t>2</w:t>
      </w:r>
      <w:r w:rsidRPr="00007146">
        <w:rPr>
          <w:rFonts w:asciiTheme="minorHAnsi" w:eastAsiaTheme="minorEastAsia" w:hAnsiTheme="minorHAnsi" w:cstheme="minorHAnsi"/>
          <w:color w:val="auto"/>
          <w:sz w:val="22"/>
          <w:szCs w:val="22"/>
        </w:rPr>
        <w:t>.</w:t>
      </w:r>
    </w:p>
    <w:p w14:paraId="671BE3CC" w14:textId="77777777" w:rsidR="004A2018" w:rsidRPr="004A2018" w:rsidRDefault="004A2018" w:rsidP="004A2018">
      <w:pPr>
        <w:spacing w:line="240" w:lineRule="auto"/>
      </w:pPr>
    </w:p>
    <w:tbl>
      <w:tblPr>
        <w:tblStyle w:val="TableGrid"/>
        <w:tblW w:w="10564" w:type="dxa"/>
        <w:tblInd w:w="488" w:type="dxa"/>
        <w:tblLook w:val="04A0" w:firstRow="1" w:lastRow="0" w:firstColumn="1" w:lastColumn="0" w:noHBand="0" w:noVBand="1"/>
      </w:tblPr>
      <w:tblGrid>
        <w:gridCol w:w="4549"/>
        <w:gridCol w:w="6015"/>
      </w:tblGrid>
      <w:tr w:rsidR="00380754" w:rsidRPr="00007146" w:rsidDel="0077734B" w14:paraId="4C2C0C91" w14:textId="747B2CB5" w:rsidTr="00E348CE">
        <w:trPr>
          <w:trHeight w:val="222"/>
        </w:trPr>
        <w:tc>
          <w:tcPr>
            <w:tcW w:w="4549" w:type="dxa"/>
            <w:shd w:val="clear" w:color="auto" w:fill="C9C9C9" w:themeFill="accent3" w:themeFillTint="99"/>
          </w:tcPr>
          <w:p w14:paraId="52EFFF97" w14:textId="639AB557" w:rsidR="0054735A" w:rsidRPr="00007146" w:rsidDel="0077734B" w:rsidRDefault="0054735A" w:rsidP="00556144">
            <w:pPr>
              <w:spacing w:after="100" w:afterAutospacing="1"/>
              <w:rPr>
                <w:rFonts w:cstheme="minorHAnsi"/>
                <w:b/>
                <w:bCs/>
              </w:rPr>
            </w:pPr>
            <w:r w:rsidRPr="00007146" w:rsidDel="0077734B">
              <w:rPr>
                <w:rFonts w:cstheme="minorHAnsi"/>
                <w:b/>
                <w:bCs/>
              </w:rPr>
              <w:t>Risk</w:t>
            </w:r>
          </w:p>
        </w:tc>
        <w:tc>
          <w:tcPr>
            <w:tcW w:w="6015" w:type="dxa"/>
            <w:shd w:val="clear" w:color="auto" w:fill="C9C9C9" w:themeFill="accent3" w:themeFillTint="99"/>
          </w:tcPr>
          <w:p w14:paraId="5C2D2D34" w14:textId="4735C2B3" w:rsidR="0054735A" w:rsidRPr="00007146" w:rsidDel="0077734B" w:rsidRDefault="0054735A" w:rsidP="00556144">
            <w:pPr>
              <w:spacing w:after="100" w:afterAutospacing="1"/>
              <w:rPr>
                <w:rFonts w:cstheme="minorHAnsi"/>
                <w:b/>
                <w:bCs/>
              </w:rPr>
            </w:pPr>
            <w:r w:rsidRPr="00007146" w:rsidDel="0077734B">
              <w:rPr>
                <w:rFonts w:cstheme="minorHAnsi"/>
                <w:b/>
                <w:bCs/>
              </w:rPr>
              <w:t>Control</w:t>
            </w:r>
          </w:p>
        </w:tc>
      </w:tr>
      <w:tr w:rsidR="00380754" w:rsidRPr="00007146" w:rsidDel="0077734B" w14:paraId="0D99E653" w14:textId="5423F3AD" w:rsidTr="00E348CE">
        <w:trPr>
          <w:trHeight w:val="567"/>
        </w:trPr>
        <w:tc>
          <w:tcPr>
            <w:tcW w:w="4549" w:type="dxa"/>
          </w:tcPr>
          <w:p w14:paraId="5A258D70" w14:textId="1D7DF098" w:rsidR="00842020" w:rsidRPr="00007146" w:rsidDel="0077734B" w:rsidRDefault="00BB15D7" w:rsidP="00556144">
            <w:pPr>
              <w:spacing w:after="100" w:afterAutospacing="1"/>
              <w:rPr>
                <w:rFonts w:cstheme="minorHAnsi"/>
              </w:rPr>
            </w:pPr>
            <w:r w:rsidRPr="00007146">
              <w:rPr>
                <w:rFonts w:cstheme="minorHAnsi"/>
                <w:b/>
                <w:bCs/>
              </w:rPr>
              <w:t xml:space="preserve">Emergency procedures </w:t>
            </w:r>
            <w:r w:rsidR="00842020" w:rsidRPr="00007146" w:rsidDel="0077734B">
              <w:rPr>
                <w:rFonts w:cstheme="minorHAnsi"/>
              </w:rPr>
              <w:t xml:space="preserve">- </w:t>
            </w:r>
            <w:r w:rsidR="00C3569B" w:rsidRPr="00007146">
              <w:rPr>
                <w:rFonts w:cstheme="minorHAnsi"/>
              </w:rPr>
              <w:t>An emergency situation which results in a service disruption or closure of service.</w:t>
            </w:r>
            <w:r w:rsidRPr="00007146">
              <w:rPr>
                <w:rFonts w:cstheme="minorHAnsi"/>
              </w:rPr>
              <w:t xml:space="preserve"> Including pandemics such as Covid-19</w:t>
            </w:r>
          </w:p>
        </w:tc>
        <w:tc>
          <w:tcPr>
            <w:tcW w:w="6015" w:type="dxa"/>
          </w:tcPr>
          <w:p w14:paraId="6DAFD561" w14:textId="351BCE77" w:rsidR="00842020" w:rsidRPr="00007146" w:rsidDel="0077734B" w:rsidRDefault="00C3569B" w:rsidP="00C3569B">
            <w:pPr>
              <w:spacing w:after="100" w:afterAutospacing="1"/>
              <w:rPr>
                <w:rFonts w:cstheme="minorHAnsi"/>
              </w:rPr>
            </w:pPr>
            <w:r w:rsidRPr="00007146">
              <w:rPr>
                <w:rFonts w:cstheme="minorHAnsi"/>
              </w:rPr>
              <w:t>A business continuity policy has been developed to outline procedures in the event of an emergency situation.  SMT are aware of policy so can assist in implementation</w:t>
            </w:r>
          </w:p>
        </w:tc>
      </w:tr>
      <w:tr w:rsidR="00380754" w:rsidRPr="00007146" w:rsidDel="0077734B" w14:paraId="78DA9BC3" w14:textId="57C06777" w:rsidTr="00E348CE">
        <w:trPr>
          <w:trHeight w:val="567"/>
        </w:trPr>
        <w:tc>
          <w:tcPr>
            <w:tcW w:w="4549" w:type="dxa"/>
          </w:tcPr>
          <w:p w14:paraId="2B14DCA8" w14:textId="5CB9633C" w:rsidR="00842020" w:rsidRPr="00007146" w:rsidDel="0077734B" w:rsidRDefault="00BB15D7" w:rsidP="00556144">
            <w:pPr>
              <w:spacing w:after="100" w:afterAutospacing="1"/>
              <w:rPr>
                <w:rFonts w:cstheme="minorHAnsi"/>
              </w:rPr>
            </w:pPr>
            <w:r w:rsidRPr="00007146">
              <w:rPr>
                <w:rFonts w:cstheme="minorHAnsi"/>
                <w:b/>
                <w:bCs/>
              </w:rPr>
              <w:t>Sport England</w:t>
            </w:r>
            <w:r w:rsidR="00842020" w:rsidRPr="00007146" w:rsidDel="0077734B">
              <w:rPr>
                <w:rFonts w:cstheme="minorHAnsi"/>
                <w:b/>
                <w:bCs/>
              </w:rPr>
              <w:t xml:space="preserve"> funding</w:t>
            </w:r>
            <w:r w:rsidR="00842020" w:rsidRPr="00007146" w:rsidDel="0077734B">
              <w:rPr>
                <w:rFonts w:cstheme="minorHAnsi"/>
              </w:rPr>
              <w:t xml:space="preserve"> – </w:t>
            </w:r>
            <w:r w:rsidR="00C3569B" w:rsidRPr="00007146">
              <w:rPr>
                <w:rFonts w:cstheme="minorHAnsi"/>
              </w:rPr>
              <w:t>Workforce funding currently ends in 2022</w:t>
            </w:r>
          </w:p>
        </w:tc>
        <w:tc>
          <w:tcPr>
            <w:tcW w:w="6015" w:type="dxa"/>
          </w:tcPr>
          <w:p w14:paraId="5A61E6A8" w14:textId="2173B5ED" w:rsidR="00842020" w:rsidRPr="00007146" w:rsidDel="0077734B" w:rsidRDefault="00C3569B" w:rsidP="00C3569B">
            <w:pPr>
              <w:spacing w:after="100" w:afterAutospacing="1"/>
              <w:rPr>
                <w:rFonts w:cstheme="minorHAnsi"/>
              </w:rPr>
            </w:pPr>
            <w:r w:rsidRPr="00007146">
              <w:rPr>
                <w:rFonts w:cstheme="minorHAnsi"/>
              </w:rPr>
              <w:t>Find out from SE when they are going to decide renewal or not. Keep close contact with SE around developments in this area. Develop contingency plan for if not renewed</w:t>
            </w:r>
          </w:p>
        </w:tc>
      </w:tr>
      <w:tr w:rsidR="00380754" w:rsidRPr="00007146" w:rsidDel="0077734B" w14:paraId="0D3CA125" w14:textId="095CC207" w:rsidTr="00E348CE">
        <w:trPr>
          <w:trHeight w:val="567"/>
        </w:trPr>
        <w:tc>
          <w:tcPr>
            <w:tcW w:w="4549" w:type="dxa"/>
          </w:tcPr>
          <w:p w14:paraId="4DFFEE6D" w14:textId="2FA40BF8" w:rsidR="00C3569B" w:rsidRPr="00007146" w:rsidDel="0077734B" w:rsidRDefault="00C3569B" w:rsidP="00C3569B">
            <w:pPr>
              <w:spacing w:after="100" w:afterAutospacing="1"/>
              <w:rPr>
                <w:rFonts w:cstheme="minorHAnsi"/>
              </w:rPr>
            </w:pPr>
            <w:r w:rsidRPr="00007146" w:rsidDel="0077734B">
              <w:rPr>
                <w:rFonts w:cstheme="minorHAnsi"/>
                <w:b/>
                <w:bCs/>
              </w:rPr>
              <w:t>Branding</w:t>
            </w:r>
            <w:r w:rsidRPr="00007146" w:rsidDel="0077734B">
              <w:rPr>
                <w:rFonts w:cstheme="minorHAnsi"/>
              </w:rPr>
              <w:t xml:space="preserve"> – confusion between </w:t>
            </w:r>
            <w:r w:rsidRPr="00007146" w:rsidDel="0077734B">
              <w:rPr>
                <w:rFonts w:cstheme="minorHAnsi"/>
                <w:b/>
                <w:bCs/>
              </w:rPr>
              <w:t>we can move</w:t>
            </w:r>
            <w:r w:rsidRPr="00007146" w:rsidDel="0077734B">
              <w:rPr>
                <w:rFonts w:cstheme="minorHAnsi"/>
              </w:rPr>
              <w:t xml:space="preserve"> and Active Gloucestershire branding</w:t>
            </w:r>
          </w:p>
        </w:tc>
        <w:tc>
          <w:tcPr>
            <w:tcW w:w="6015" w:type="dxa"/>
          </w:tcPr>
          <w:p w14:paraId="6E6AAB5A" w14:textId="21BF1C3D" w:rsidR="00C3569B" w:rsidRPr="00007146" w:rsidDel="0077734B" w:rsidRDefault="00C3569B" w:rsidP="00C3569B">
            <w:pPr>
              <w:spacing w:after="100" w:afterAutospacing="1"/>
              <w:rPr>
                <w:rFonts w:cstheme="minorHAnsi"/>
              </w:rPr>
            </w:pPr>
            <w:r w:rsidRPr="00007146" w:rsidDel="0077734B">
              <w:rPr>
                <w:rFonts w:cstheme="minorHAnsi"/>
              </w:rPr>
              <w:t>Development of strategy for both brands, regular review</w:t>
            </w:r>
          </w:p>
        </w:tc>
      </w:tr>
      <w:tr w:rsidR="00380754" w:rsidRPr="00007146" w:rsidDel="0077734B" w14:paraId="4FE333A0" w14:textId="0BBE9DE6" w:rsidTr="00E348CE">
        <w:trPr>
          <w:trHeight w:val="567"/>
        </w:trPr>
        <w:tc>
          <w:tcPr>
            <w:tcW w:w="4549" w:type="dxa"/>
          </w:tcPr>
          <w:p w14:paraId="0DDE4F2E" w14:textId="1F6F21A6" w:rsidR="00EF6AFD" w:rsidRPr="00007146" w:rsidDel="0077734B" w:rsidRDefault="00BB15D7" w:rsidP="00EF6AFD">
            <w:pPr>
              <w:spacing w:after="100" w:afterAutospacing="1"/>
              <w:rPr>
                <w:rFonts w:cstheme="minorHAnsi"/>
              </w:rPr>
            </w:pPr>
            <w:r w:rsidRPr="00007146">
              <w:rPr>
                <w:rFonts w:cstheme="minorHAnsi"/>
                <w:b/>
                <w:bCs/>
              </w:rPr>
              <w:lastRenderedPageBreak/>
              <w:t>we can move programme delivery</w:t>
            </w:r>
            <w:r w:rsidRPr="00007146">
              <w:rPr>
                <w:rFonts w:cstheme="minorHAnsi"/>
              </w:rPr>
              <w:t xml:space="preserve"> – programmes not delivered on time and to a high quality</w:t>
            </w:r>
          </w:p>
        </w:tc>
        <w:tc>
          <w:tcPr>
            <w:tcW w:w="6015" w:type="dxa"/>
          </w:tcPr>
          <w:p w14:paraId="24905395" w14:textId="10875393" w:rsidR="00EF6AFD" w:rsidRPr="00007146" w:rsidDel="0077734B" w:rsidRDefault="00BB15D7" w:rsidP="00BB15D7">
            <w:pPr>
              <w:spacing w:after="100" w:afterAutospacing="1"/>
              <w:rPr>
                <w:rFonts w:cstheme="minorHAnsi"/>
              </w:rPr>
            </w:pPr>
            <w:r w:rsidRPr="00007146">
              <w:rPr>
                <w:rFonts w:cstheme="minorHAnsi"/>
              </w:rPr>
              <w:t>Use Smartsheets project management system, develop plans and systems, provide training and support for staff. Monthly reviews by SMT with project manager. Open communication with stakeholders. Inclusion in Board report</w:t>
            </w:r>
          </w:p>
        </w:tc>
      </w:tr>
      <w:tr w:rsidR="00380754" w:rsidRPr="00007146" w:rsidDel="0077734B" w14:paraId="2408512E" w14:textId="30858104" w:rsidTr="00E348CE">
        <w:trPr>
          <w:trHeight w:val="567"/>
        </w:trPr>
        <w:tc>
          <w:tcPr>
            <w:tcW w:w="4549" w:type="dxa"/>
          </w:tcPr>
          <w:p w14:paraId="6CC03A36" w14:textId="1DE0CB1D" w:rsidR="00BB15D7" w:rsidRPr="00007146" w:rsidDel="0077734B" w:rsidRDefault="00BB15D7" w:rsidP="00BB15D7">
            <w:pPr>
              <w:spacing w:after="100" w:afterAutospacing="1"/>
              <w:rPr>
                <w:rFonts w:cstheme="minorHAnsi"/>
              </w:rPr>
            </w:pPr>
            <w:r w:rsidRPr="00007146" w:rsidDel="0077734B">
              <w:rPr>
                <w:rFonts w:cstheme="minorHAnsi"/>
                <w:b/>
                <w:bCs/>
              </w:rPr>
              <w:t>Transition to a backbone organisation</w:t>
            </w:r>
            <w:r w:rsidRPr="00007146" w:rsidDel="0077734B">
              <w:rPr>
                <w:rFonts w:cstheme="minorHAnsi"/>
              </w:rPr>
              <w:t xml:space="preserve"> – </w:t>
            </w:r>
            <w:r w:rsidRPr="00007146">
              <w:rPr>
                <w:rFonts w:cstheme="minorHAnsi"/>
              </w:rPr>
              <w:t>Trustees and staff don't adopt the leadership behaviours of a backbone</w:t>
            </w:r>
          </w:p>
        </w:tc>
        <w:tc>
          <w:tcPr>
            <w:tcW w:w="6015" w:type="dxa"/>
          </w:tcPr>
          <w:p w14:paraId="2586160A" w14:textId="0E5810C4" w:rsidR="00BB15D7" w:rsidRPr="00007146" w:rsidDel="0077734B" w:rsidRDefault="00BB15D7" w:rsidP="00BB15D7">
            <w:pPr>
              <w:spacing w:after="100" w:afterAutospacing="1"/>
              <w:rPr>
                <w:rFonts w:cstheme="minorHAnsi"/>
              </w:rPr>
            </w:pPr>
            <w:r w:rsidRPr="00007146" w:rsidDel="0077734B">
              <w:rPr>
                <w:rFonts w:cstheme="minorHAnsi"/>
              </w:rPr>
              <w:t xml:space="preserve">Regular check ins with </w:t>
            </w:r>
            <w:r w:rsidRPr="00007146" w:rsidDel="0077734B">
              <w:rPr>
                <w:rFonts w:cstheme="minorHAnsi"/>
                <w:b/>
                <w:bCs/>
              </w:rPr>
              <w:t xml:space="preserve">we can move </w:t>
            </w:r>
            <w:r w:rsidRPr="00007146" w:rsidDel="0077734B">
              <w:rPr>
                <w:rFonts w:cstheme="minorHAnsi"/>
              </w:rPr>
              <w:t>council, staff and Board, leadership training to help enhance understanding of backbone organisations.</w:t>
            </w:r>
          </w:p>
        </w:tc>
      </w:tr>
      <w:tr w:rsidR="00380754" w:rsidRPr="00007146" w:rsidDel="0077734B" w14:paraId="7610264A" w14:textId="2879E3A3" w:rsidTr="00E348CE">
        <w:trPr>
          <w:trHeight w:val="567"/>
        </w:trPr>
        <w:tc>
          <w:tcPr>
            <w:tcW w:w="4549" w:type="dxa"/>
          </w:tcPr>
          <w:p w14:paraId="3D319C5C" w14:textId="348B83AB" w:rsidR="00BB15D7" w:rsidRPr="00007146" w:rsidDel="0077734B" w:rsidRDefault="00BB15D7" w:rsidP="00BB15D7">
            <w:pPr>
              <w:spacing w:after="100" w:afterAutospacing="1"/>
              <w:rPr>
                <w:rFonts w:cstheme="minorHAnsi"/>
              </w:rPr>
            </w:pPr>
            <w:r w:rsidRPr="00007146" w:rsidDel="0077734B">
              <w:rPr>
                <w:rFonts w:cstheme="minorHAnsi"/>
                <w:b/>
                <w:bCs/>
              </w:rPr>
              <w:t>Business development targets</w:t>
            </w:r>
            <w:r w:rsidRPr="00007146" w:rsidDel="0077734B">
              <w:rPr>
                <w:rFonts w:cstheme="minorHAnsi"/>
              </w:rPr>
              <w:t xml:space="preserve"> – failure to</w:t>
            </w:r>
            <w:r w:rsidRPr="00007146">
              <w:rPr>
                <w:rFonts w:cstheme="minorHAnsi"/>
              </w:rPr>
              <w:t xml:space="preserve"> meet </w:t>
            </w:r>
            <w:r w:rsidRPr="00007146" w:rsidDel="0077734B">
              <w:rPr>
                <w:rFonts w:cstheme="minorHAnsi"/>
              </w:rPr>
              <w:t>targets</w:t>
            </w:r>
          </w:p>
        </w:tc>
        <w:tc>
          <w:tcPr>
            <w:tcW w:w="6015" w:type="dxa"/>
          </w:tcPr>
          <w:p w14:paraId="334841C6" w14:textId="67627774" w:rsidR="00BB15D7" w:rsidRPr="00007146" w:rsidDel="0077734B" w:rsidRDefault="00BB15D7" w:rsidP="00BB15D7">
            <w:pPr>
              <w:spacing w:after="100" w:afterAutospacing="1"/>
              <w:rPr>
                <w:rFonts w:cstheme="minorHAnsi"/>
              </w:rPr>
            </w:pPr>
            <w:r w:rsidRPr="00007146" w:rsidDel="0077734B">
              <w:rPr>
                <w:rFonts w:cstheme="minorHAnsi"/>
              </w:rPr>
              <w:t>Realistic targets to be set based on previous performance, detailed business development plan reviewed monthly, agenda item at all SMT and FRC meetings</w:t>
            </w:r>
          </w:p>
        </w:tc>
      </w:tr>
      <w:tr w:rsidR="00380754" w:rsidRPr="00007146" w:rsidDel="0077734B" w14:paraId="3F0C6AD9" w14:textId="5B8E519F" w:rsidTr="00E348CE">
        <w:trPr>
          <w:trHeight w:val="567"/>
        </w:trPr>
        <w:tc>
          <w:tcPr>
            <w:tcW w:w="4549" w:type="dxa"/>
          </w:tcPr>
          <w:p w14:paraId="6499CB28" w14:textId="1859D5C1" w:rsidR="00BB15D7" w:rsidRPr="00007146" w:rsidDel="0077734B" w:rsidRDefault="00BB15D7" w:rsidP="00BB15D7">
            <w:pPr>
              <w:spacing w:after="100" w:afterAutospacing="1"/>
              <w:rPr>
                <w:rFonts w:cstheme="minorHAnsi"/>
              </w:rPr>
            </w:pPr>
            <w:r w:rsidRPr="00007146" w:rsidDel="0077734B">
              <w:rPr>
                <w:rFonts w:cstheme="minorHAnsi"/>
                <w:b/>
                <w:bCs/>
              </w:rPr>
              <w:t xml:space="preserve">Insurance </w:t>
            </w:r>
            <w:r w:rsidRPr="00007146" w:rsidDel="0077734B">
              <w:rPr>
                <w:rFonts w:cstheme="minorHAnsi"/>
              </w:rPr>
              <w:t>– risk of under insurance/invalidating insurance</w:t>
            </w:r>
          </w:p>
        </w:tc>
        <w:tc>
          <w:tcPr>
            <w:tcW w:w="6015" w:type="dxa"/>
          </w:tcPr>
          <w:p w14:paraId="7B13BB7C" w14:textId="496A0BAE" w:rsidR="00BB15D7" w:rsidRPr="00007146" w:rsidDel="0077734B" w:rsidRDefault="00BB15D7" w:rsidP="00BB15D7">
            <w:pPr>
              <w:spacing w:after="100" w:afterAutospacing="1"/>
              <w:rPr>
                <w:rFonts w:cstheme="minorHAnsi"/>
              </w:rPr>
            </w:pPr>
            <w:r w:rsidRPr="00007146" w:rsidDel="0077734B">
              <w:rPr>
                <w:rFonts w:cstheme="minorHAnsi"/>
              </w:rPr>
              <w:t>Training incorporated into staff induction, annual review of policy, incorporation of relevant elements into SLAs</w:t>
            </w:r>
          </w:p>
        </w:tc>
      </w:tr>
      <w:tr w:rsidR="00380754" w:rsidRPr="00007146" w:rsidDel="0077734B" w14:paraId="7B6F9C1C" w14:textId="3D88A7DB" w:rsidTr="00E348CE">
        <w:trPr>
          <w:trHeight w:val="567"/>
        </w:trPr>
        <w:tc>
          <w:tcPr>
            <w:tcW w:w="4549" w:type="dxa"/>
          </w:tcPr>
          <w:p w14:paraId="5A6BE8C3" w14:textId="73761DA2" w:rsidR="00BB15D7" w:rsidRPr="00007146" w:rsidDel="0077734B" w:rsidRDefault="00BB15D7" w:rsidP="00BB15D7">
            <w:pPr>
              <w:spacing w:after="100" w:afterAutospacing="1"/>
              <w:rPr>
                <w:rFonts w:cstheme="minorHAnsi"/>
              </w:rPr>
            </w:pPr>
            <w:r w:rsidRPr="00007146" w:rsidDel="0077734B">
              <w:rPr>
                <w:rFonts w:cstheme="minorHAnsi"/>
                <w:b/>
                <w:bCs/>
              </w:rPr>
              <w:t>GDPR</w:t>
            </w:r>
            <w:r w:rsidRPr="00007146" w:rsidDel="0077734B">
              <w:rPr>
                <w:rFonts w:cstheme="minorHAnsi"/>
              </w:rPr>
              <w:t xml:space="preserve"> – Non-compliance with General Data Protection Regulations</w:t>
            </w:r>
          </w:p>
        </w:tc>
        <w:tc>
          <w:tcPr>
            <w:tcW w:w="6015" w:type="dxa"/>
          </w:tcPr>
          <w:p w14:paraId="78CD6A30" w14:textId="1ED415B1" w:rsidR="00BB15D7" w:rsidRPr="00007146" w:rsidDel="0077734B" w:rsidRDefault="00BB15D7" w:rsidP="00BB15D7">
            <w:pPr>
              <w:spacing w:after="100" w:afterAutospacing="1"/>
              <w:rPr>
                <w:rFonts w:cstheme="minorHAnsi"/>
              </w:rPr>
            </w:pPr>
            <w:r w:rsidRPr="00007146">
              <w:rPr>
                <w:rFonts w:cstheme="minorHAnsi"/>
              </w:rPr>
              <w:t xml:space="preserve">Continue to improve our data protection processes and training. Advice continues to be sourced from experts when required. </w:t>
            </w:r>
          </w:p>
        </w:tc>
      </w:tr>
      <w:tr w:rsidR="00380754" w:rsidRPr="00007146" w:rsidDel="0077734B" w14:paraId="25A8CAC9" w14:textId="13C18E38" w:rsidTr="00E348CE">
        <w:trPr>
          <w:trHeight w:val="567"/>
        </w:trPr>
        <w:tc>
          <w:tcPr>
            <w:tcW w:w="4549" w:type="dxa"/>
          </w:tcPr>
          <w:p w14:paraId="268EC7E6" w14:textId="099C1108" w:rsidR="00BB15D7" w:rsidRPr="00007146" w:rsidDel="0077734B" w:rsidRDefault="008100EB" w:rsidP="00BB15D7">
            <w:pPr>
              <w:spacing w:after="100" w:afterAutospacing="1"/>
              <w:rPr>
                <w:rFonts w:cstheme="minorHAnsi"/>
              </w:rPr>
            </w:pPr>
            <w:r w:rsidRPr="00007146">
              <w:rPr>
                <w:rFonts w:cstheme="minorHAnsi"/>
                <w:b/>
                <w:bCs/>
              </w:rPr>
              <w:t xml:space="preserve">Loss of key staff </w:t>
            </w:r>
            <w:r w:rsidRPr="00007146">
              <w:rPr>
                <w:rFonts w:cstheme="minorHAnsi"/>
              </w:rPr>
              <w:t>– through leaving AG or long-term sick</w:t>
            </w:r>
          </w:p>
        </w:tc>
        <w:tc>
          <w:tcPr>
            <w:tcW w:w="6015" w:type="dxa"/>
          </w:tcPr>
          <w:p w14:paraId="4E9783D1" w14:textId="0AB62C6A" w:rsidR="00BB15D7" w:rsidRPr="00007146" w:rsidDel="0077734B" w:rsidRDefault="008100EB" w:rsidP="008100EB">
            <w:pPr>
              <w:spacing w:after="100" w:afterAutospacing="1"/>
              <w:rPr>
                <w:rFonts w:cstheme="minorHAnsi"/>
              </w:rPr>
            </w:pPr>
            <w:r w:rsidRPr="00007146">
              <w:rPr>
                <w:rFonts w:cstheme="minorHAnsi"/>
              </w:rPr>
              <w:t>Project plans in place for all of their work. Relationships captured on Customer Relationship Database. Officer involvement in workshops. Regular check-in with staff. Regular recognition and rewards</w:t>
            </w:r>
          </w:p>
        </w:tc>
      </w:tr>
      <w:tr w:rsidR="00380754" w:rsidRPr="00007146" w:rsidDel="0077734B" w14:paraId="0313AF21" w14:textId="6CCA1719" w:rsidTr="00E348CE">
        <w:trPr>
          <w:trHeight w:val="567"/>
        </w:trPr>
        <w:tc>
          <w:tcPr>
            <w:tcW w:w="4549" w:type="dxa"/>
          </w:tcPr>
          <w:p w14:paraId="57783D09" w14:textId="3FDBC9AD" w:rsidR="00BB15D7" w:rsidRPr="00007146" w:rsidDel="0077734B" w:rsidRDefault="00391D9B" w:rsidP="00BB15D7">
            <w:pPr>
              <w:spacing w:after="100" w:afterAutospacing="1"/>
              <w:rPr>
                <w:rFonts w:cstheme="minorHAnsi"/>
                <w:b/>
                <w:bCs/>
              </w:rPr>
            </w:pPr>
            <w:r w:rsidRPr="00007146">
              <w:rPr>
                <w:rFonts w:cstheme="minorHAnsi"/>
                <w:b/>
                <w:bCs/>
              </w:rPr>
              <w:t>Cyber Security</w:t>
            </w:r>
          </w:p>
        </w:tc>
        <w:tc>
          <w:tcPr>
            <w:tcW w:w="6015" w:type="dxa"/>
          </w:tcPr>
          <w:p w14:paraId="3ACA6F11" w14:textId="530C6D90" w:rsidR="00BB15D7" w:rsidRPr="00007146" w:rsidDel="0077734B" w:rsidRDefault="00391D9B" w:rsidP="00BB15D7">
            <w:pPr>
              <w:spacing w:after="100" w:afterAutospacing="1"/>
              <w:rPr>
                <w:rFonts w:cstheme="minorHAnsi"/>
              </w:rPr>
            </w:pPr>
            <w:r w:rsidRPr="00007146">
              <w:rPr>
                <w:rFonts w:cstheme="minorHAnsi"/>
              </w:rPr>
              <w:t>Improved internal controls resulting in an application to reach the Cyber Essentials standard.</w:t>
            </w:r>
          </w:p>
        </w:tc>
      </w:tr>
    </w:tbl>
    <w:p w14:paraId="7CD1B0DE" w14:textId="77777777" w:rsidR="00124E51" w:rsidRPr="00007146" w:rsidRDefault="00124E51" w:rsidP="002E6F3C">
      <w:pPr>
        <w:spacing w:after="0"/>
        <w:rPr>
          <w:rFonts w:cstheme="minorHAnsi"/>
          <w:color w:val="2F5496" w:themeColor="accent5" w:themeShade="BF"/>
        </w:rPr>
      </w:pPr>
    </w:p>
    <w:p w14:paraId="0605E5A8" w14:textId="77777777" w:rsidR="00DE1DA3" w:rsidRDefault="00124E51" w:rsidP="004A2018">
      <w:pPr>
        <w:spacing w:after="0"/>
        <w:rPr>
          <w:rFonts w:cstheme="minorHAnsi"/>
          <w:b/>
        </w:rPr>
      </w:pPr>
      <w:r w:rsidRPr="00007146">
        <w:rPr>
          <w:rFonts w:cstheme="minorHAnsi"/>
          <w:b/>
        </w:rPr>
        <w:t>12.0</w:t>
      </w:r>
      <w:r w:rsidR="002E6F3C" w:rsidRPr="00007146">
        <w:rPr>
          <w:rFonts w:cstheme="minorHAnsi"/>
          <w:b/>
        </w:rPr>
        <w:t xml:space="preserve"> </w:t>
      </w:r>
      <w:r w:rsidR="000011C9" w:rsidRPr="00007146">
        <w:rPr>
          <w:rFonts w:cstheme="minorHAnsi"/>
          <w:b/>
        </w:rPr>
        <w:t>Governance i</w:t>
      </w:r>
      <w:r w:rsidR="005164A7" w:rsidRPr="00007146">
        <w:rPr>
          <w:rFonts w:cstheme="minorHAnsi"/>
          <w:b/>
        </w:rPr>
        <w:t>mprovement</w:t>
      </w:r>
      <w:bookmarkStart w:id="1" w:name="_Hlk37264255"/>
    </w:p>
    <w:p w14:paraId="4480ABCC" w14:textId="38E6B6F7" w:rsidR="00D07D55" w:rsidRPr="00DE1DA3" w:rsidRDefault="00D07D55" w:rsidP="004A2018">
      <w:pPr>
        <w:spacing w:after="0"/>
        <w:rPr>
          <w:rFonts w:cstheme="minorHAnsi"/>
          <w:b/>
        </w:rPr>
      </w:pPr>
      <w:r w:rsidRPr="00007146">
        <w:rPr>
          <w:rFonts w:cstheme="minorHAnsi"/>
          <w:color w:val="000000" w:themeColor="text1"/>
        </w:rPr>
        <w:t>Active Gloucestershire takes seriously its commitment to establishing a strong governance framework and as such its Board conducts annual reviews of its governance practices to ensure that it is not only fully compliant with the UK Code for Sports Governance but that the principles of openness, transparency and accountability are embedded within its culture and govern everything it does.</w:t>
      </w:r>
    </w:p>
    <w:p w14:paraId="538C96CD" w14:textId="7A2CF63D" w:rsidR="00D07D55" w:rsidRPr="00007146" w:rsidRDefault="00D07D55" w:rsidP="00003B83">
      <w:pPr>
        <w:rPr>
          <w:rFonts w:cstheme="minorHAnsi"/>
          <w:color w:val="000000" w:themeColor="text1"/>
        </w:rPr>
      </w:pPr>
      <w:r w:rsidRPr="00007146">
        <w:rPr>
          <w:rFonts w:cstheme="minorHAnsi"/>
          <w:color w:val="000000" w:themeColor="text1"/>
        </w:rPr>
        <w:t xml:space="preserve">Over the past year, Active Gloucestershire has retained compliance with Sport England’s ‘Code for Sports Governance’. Adherence to the Code is an ongoing requirement of Active Gloucestershire’s funding award agreements and as such it will continue to be monitored through a combination of Sport England assessment, independent assurance and self-declaration.  </w:t>
      </w:r>
    </w:p>
    <w:bookmarkEnd w:id="1"/>
    <w:p w14:paraId="00D85639" w14:textId="5A0167A4" w:rsidR="00F10F92" w:rsidRPr="00003B83" w:rsidRDefault="00124E51" w:rsidP="00003B83">
      <w:pPr>
        <w:pStyle w:val="Heading2"/>
        <w:spacing w:before="0"/>
        <w:rPr>
          <w:rFonts w:asciiTheme="minorHAnsi" w:hAnsiTheme="minorHAnsi" w:cstheme="minorHAnsi"/>
          <w:b/>
          <w:color w:val="auto"/>
          <w:sz w:val="22"/>
          <w:szCs w:val="22"/>
        </w:rPr>
      </w:pPr>
      <w:r w:rsidRPr="00007146">
        <w:rPr>
          <w:rFonts w:asciiTheme="minorHAnsi" w:hAnsiTheme="minorHAnsi" w:cstheme="minorHAnsi"/>
          <w:b/>
          <w:color w:val="auto"/>
          <w:sz w:val="22"/>
          <w:szCs w:val="22"/>
        </w:rPr>
        <w:t>13.0</w:t>
      </w:r>
      <w:r w:rsidR="00157150" w:rsidRPr="00007146">
        <w:rPr>
          <w:rFonts w:asciiTheme="minorHAnsi" w:hAnsiTheme="minorHAnsi" w:cstheme="minorHAnsi"/>
          <w:b/>
          <w:color w:val="auto"/>
          <w:sz w:val="22"/>
          <w:szCs w:val="22"/>
        </w:rPr>
        <w:t xml:space="preserve"> </w:t>
      </w:r>
      <w:r w:rsidR="000011C9" w:rsidRPr="00007146">
        <w:rPr>
          <w:rFonts w:asciiTheme="minorHAnsi" w:hAnsiTheme="minorHAnsi" w:cstheme="minorHAnsi"/>
          <w:b/>
          <w:color w:val="auto"/>
          <w:sz w:val="22"/>
          <w:szCs w:val="22"/>
        </w:rPr>
        <w:t>Review of s</w:t>
      </w:r>
      <w:r w:rsidR="005164A7" w:rsidRPr="00007146">
        <w:rPr>
          <w:rFonts w:asciiTheme="minorHAnsi" w:hAnsiTheme="minorHAnsi" w:cstheme="minorHAnsi"/>
          <w:b/>
          <w:color w:val="auto"/>
          <w:sz w:val="22"/>
          <w:szCs w:val="22"/>
        </w:rPr>
        <w:t>tatement</w:t>
      </w:r>
      <w:r w:rsidRPr="00007146">
        <w:rPr>
          <w:rFonts w:asciiTheme="minorHAnsi" w:hAnsiTheme="minorHAnsi" w:cstheme="minorHAnsi"/>
          <w:b/>
          <w:color w:val="auto"/>
          <w:sz w:val="22"/>
          <w:szCs w:val="22"/>
        </w:rPr>
        <w:br/>
      </w:r>
      <w:r w:rsidR="005164A7" w:rsidRPr="00003B83">
        <w:rPr>
          <w:rFonts w:asciiTheme="minorHAnsi" w:hAnsiTheme="minorHAnsi" w:cstheme="minorHAnsi"/>
          <w:color w:val="auto"/>
          <w:sz w:val="22"/>
          <w:szCs w:val="22"/>
        </w:rPr>
        <w:t>The Board undertakes a statement review an</w:t>
      </w:r>
      <w:r w:rsidR="00F41B91" w:rsidRPr="00003B83">
        <w:rPr>
          <w:rFonts w:asciiTheme="minorHAnsi" w:hAnsiTheme="minorHAnsi" w:cstheme="minorHAnsi"/>
          <w:color w:val="auto"/>
          <w:sz w:val="22"/>
          <w:szCs w:val="22"/>
        </w:rPr>
        <w:t xml:space="preserve">nually.  </w:t>
      </w:r>
      <w:r w:rsidR="004030A4" w:rsidRPr="00003B83">
        <w:rPr>
          <w:rFonts w:asciiTheme="minorHAnsi" w:hAnsiTheme="minorHAnsi" w:cstheme="minorHAnsi"/>
          <w:color w:val="auto"/>
          <w:sz w:val="22"/>
          <w:szCs w:val="22"/>
        </w:rPr>
        <w:t>This statement was l</w:t>
      </w:r>
      <w:r w:rsidR="00CD1EBF" w:rsidRPr="00003B83">
        <w:rPr>
          <w:rFonts w:asciiTheme="minorHAnsi" w:hAnsiTheme="minorHAnsi" w:cstheme="minorHAnsi"/>
          <w:color w:val="auto"/>
          <w:sz w:val="22"/>
          <w:szCs w:val="22"/>
        </w:rPr>
        <w:t xml:space="preserve">ast </w:t>
      </w:r>
      <w:r w:rsidR="00380754" w:rsidRPr="00003B83">
        <w:rPr>
          <w:rFonts w:asciiTheme="minorHAnsi" w:hAnsiTheme="minorHAnsi" w:cstheme="minorHAnsi"/>
          <w:color w:val="auto"/>
          <w:sz w:val="22"/>
          <w:szCs w:val="22"/>
        </w:rPr>
        <w:t>approved</w:t>
      </w:r>
      <w:r w:rsidR="004030A4" w:rsidRPr="00003B83">
        <w:rPr>
          <w:rFonts w:asciiTheme="minorHAnsi" w:hAnsiTheme="minorHAnsi" w:cstheme="minorHAnsi"/>
          <w:color w:val="auto"/>
          <w:sz w:val="22"/>
          <w:szCs w:val="22"/>
        </w:rPr>
        <w:t xml:space="preserve"> in</w:t>
      </w:r>
      <w:r w:rsidR="00CD1EBF" w:rsidRPr="00003B83">
        <w:rPr>
          <w:rFonts w:asciiTheme="minorHAnsi" w:hAnsiTheme="minorHAnsi" w:cstheme="minorHAnsi"/>
          <w:color w:val="auto"/>
          <w:sz w:val="22"/>
          <w:szCs w:val="22"/>
        </w:rPr>
        <w:t xml:space="preserve"> </w:t>
      </w:r>
      <w:r w:rsidR="00703875" w:rsidRPr="00003B83">
        <w:rPr>
          <w:rFonts w:asciiTheme="minorHAnsi" w:hAnsiTheme="minorHAnsi" w:cstheme="minorHAnsi"/>
          <w:color w:val="auto"/>
          <w:sz w:val="22"/>
          <w:szCs w:val="22"/>
        </w:rPr>
        <w:t>May</w:t>
      </w:r>
      <w:r w:rsidRPr="00003B83">
        <w:rPr>
          <w:rFonts w:asciiTheme="minorHAnsi" w:hAnsiTheme="minorHAnsi" w:cstheme="minorHAnsi"/>
          <w:color w:val="auto"/>
          <w:sz w:val="22"/>
          <w:szCs w:val="22"/>
        </w:rPr>
        <w:t xml:space="preserve"> 202</w:t>
      </w:r>
      <w:r w:rsidR="002F2FBF" w:rsidRPr="00003B83">
        <w:rPr>
          <w:rFonts w:asciiTheme="minorHAnsi" w:hAnsiTheme="minorHAnsi" w:cstheme="minorHAnsi"/>
          <w:color w:val="auto"/>
          <w:sz w:val="22"/>
          <w:szCs w:val="22"/>
        </w:rPr>
        <w:t>1</w:t>
      </w:r>
      <w:r w:rsidR="00F64415" w:rsidRPr="00003B83">
        <w:rPr>
          <w:rFonts w:asciiTheme="minorHAnsi" w:hAnsiTheme="minorHAnsi" w:cstheme="minorHAnsi"/>
          <w:color w:val="auto"/>
          <w:sz w:val="22"/>
          <w:szCs w:val="22"/>
        </w:rPr>
        <w:t>.</w:t>
      </w:r>
    </w:p>
    <w:sectPr w:rsidR="00F10F92" w:rsidRPr="00003B83" w:rsidSect="00D50F89">
      <w:footerReference w:type="default" r:id="rId11"/>
      <w:headerReference w:type="first" r:id="rId12"/>
      <w:pgSz w:w="11906" w:h="16838" w:code="9"/>
      <w:pgMar w:top="567" w:right="680" w:bottom="567" w:left="68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623A" w14:textId="77777777" w:rsidR="00E35850" w:rsidRDefault="00E35850" w:rsidP="00ED66D5">
      <w:pPr>
        <w:spacing w:after="0" w:line="240" w:lineRule="auto"/>
      </w:pPr>
      <w:r>
        <w:separator/>
      </w:r>
    </w:p>
  </w:endnote>
  <w:endnote w:type="continuationSeparator" w:id="0">
    <w:p w14:paraId="0461E81E" w14:textId="77777777" w:rsidR="00E35850" w:rsidRDefault="00E35850" w:rsidP="00E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9156"/>
      <w:docPartObj>
        <w:docPartGallery w:val="Page Numbers (Bottom of Page)"/>
        <w:docPartUnique/>
      </w:docPartObj>
    </w:sdtPr>
    <w:sdtEndPr>
      <w:rPr>
        <w:noProof/>
      </w:rPr>
    </w:sdtEndPr>
    <w:sdtContent>
      <w:p w14:paraId="56777DC2" w14:textId="77777777" w:rsidR="0067023A" w:rsidRDefault="0067023A">
        <w:pPr>
          <w:pStyle w:val="Footer"/>
          <w:jc w:val="right"/>
        </w:pPr>
        <w:r>
          <w:rPr>
            <w:noProof/>
          </w:rPr>
          <w:t>7</w:t>
        </w:r>
      </w:p>
    </w:sdtContent>
  </w:sdt>
  <w:p w14:paraId="4120528B" w14:textId="77777777" w:rsidR="0067023A" w:rsidRDefault="0067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F57F" w14:textId="77777777" w:rsidR="00E35850" w:rsidRDefault="00E35850" w:rsidP="00ED66D5">
      <w:pPr>
        <w:spacing w:after="0" w:line="240" w:lineRule="auto"/>
      </w:pPr>
      <w:r>
        <w:separator/>
      </w:r>
    </w:p>
  </w:footnote>
  <w:footnote w:type="continuationSeparator" w:id="0">
    <w:p w14:paraId="2C00C925" w14:textId="77777777" w:rsidR="00E35850" w:rsidRDefault="00E35850" w:rsidP="00ED6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0885" w14:textId="7FBDD657" w:rsidR="0067023A" w:rsidRDefault="0067023A">
    <w:pPr>
      <w:pStyle w:val="Header"/>
      <w:rPr>
        <w:noProof/>
      </w:rPr>
    </w:pPr>
    <w:r w:rsidRPr="00B274E5">
      <w:rPr>
        <w:noProof/>
      </w:rPr>
      <w:drawing>
        <wp:anchor distT="0" distB="0" distL="114300" distR="114300" simplePos="0" relativeHeight="251661312" behindDoc="0" locked="0" layoutInCell="1" allowOverlap="1" wp14:anchorId="7E38C174" wp14:editId="2C2599D1">
          <wp:simplePos x="0" y="0"/>
          <wp:positionH relativeFrom="margin">
            <wp:posOffset>-328295</wp:posOffset>
          </wp:positionH>
          <wp:positionV relativeFrom="paragraph">
            <wp:posOffset>-180340</wp:posOffset>
          </wp:positionV>
          <wp:extent cx="2178050" cy="7340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0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182A6068" w14:textId="2CC12776" w:rsidR="002F2FBF" w:rsidRDefault="002F2FBF">
    <w:pPr>
      <w:pStyle w:val="Header"/>
      <w:rPr>
        <w:noProof/>
      </w:rPr>
    </w:pPr>
  </w:p>
  <w:p w14:paraId="09139DC2" w14:textId="77777777" w:rsidR="002F2FBF" w:rsidRDefault="002F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F8"/>
    <w:multiLevelType w:val="hybridMultilevel"/>
    <w:tmpl w:val="A542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61A4"/>
    <w:multiLevelType w:val="hybridMultilevel"/>
    <w:tmpl w:val="2A5C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74DA"/>
    <w:multiLevelType w:val="hybridMultilevel"/>
    <w:tmpl w:val="2200C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B58BE"/>
    <w:multiLevelType w:val="hybridMultilevel"/>
    <w:tmpl w:val="F80EBB0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09122858"/>
    <w:multiLevelType w:val="hybridMultilevel"/>
    <w:tmpl w:val="D84684E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 w15:restartNumberingAfterBreak="0">
    <w:nsid w:val="0A11539B"/>
    <w:multiLevelType w:val="hybridMultilevel"/>
    <w:tmpl w:val="465C9F2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0BAA3AE7"/>
    <w:multiLevelType w:val="hybridMultilevel"/>
    <w:tmpl w:val="EC1A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E4863"/>
    <w:multiLevelType w:val="hybridMultilevel"/>
    <w:tmpl w:val="5E1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F1FEC"/>
    <w:multiLevelType w:val="hybridMultilevel"/>
    <w:tmpl w:val="C19879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A32ADC"/>
    <w:multiLevelType w:val="multilevel"/>
    <w:tmpl w:val="DBA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B5082"/>
    <w:multiLevelType w:val="hybridMultilevel"/>
    <w:tmpl w:val="C70ED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3D41FD"/>
    <w:multiLevelType w:val="multilevel"/>
    <w:tmpl w:val="17EE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26A80"/>
    <w:multiLevelType w:val="hybridMultilevel"/>
    <w:tmpl w:val="F924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570F5"/>
    <w:multiLevelType w:val="hybridMultilevel"/>
    <w:tmpl w:val="5D9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02E64"/>
    <w:multiLevelType w:val="hybridMultilevel"/>
    <w:tmpl w:val="0322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243D3C"/>
    <w:multiLevelType w:val="hybridMultilevel"/>
    <w:tmpl w:val="B618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370C75"/>
    <w:multiLevelType w:val="hybridMultilevel"/>
    <w:tmpl w:val="68CA93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D7954AF"/>
    <w:multiLevelType w:val="hybridMultilevel"/>
    <w:tmpl w:val="C2C0D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B632E7"/>
    <w:multiLevelType w:val="hybridMultilevel"/>
    <w:tmpl w:val="672A115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9" w15:restartNumberingAfterBreak="0">
    <w:nsid w:val="20BE58C1"/>
    <w:multiLevelType w:val="hybridMultilevel"/>
    <w:tmpl w:val="FC6AF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0E940FB"/>
    <w:multiLevelType w:val="multilevel"/>
    <w:tmpl w:val="21228072"/>
    <w:lvl w:ilvl="0">
      <w:start w:val="1"/>
      <w:numFmt w:val="decimal"/>
      <w:lvlText w:val="%1.0"/>
      <w:lvlJc w:val="left"/>
      <w:pPr>
        <w:ind w:left="426" w:hanging="426"/>
      </w:pPr>
      <w:rPr>
        <w:rFonts w:hint="default"/>
      </w:rPr>
    </w:lvl>
    <w:lvl w:ilvl="1">
      <w:start w:val="1"/>
      <w:numFmt w:val="decimal"/>
      <w:lvlText w:val="%1.%2"/>
      <w:lvlJc w:val="left"/>
      <w:pPr>
        <w:ind w:left="1146" w:hanging="42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1AF5DC8"/>
    <w:multiLevelType w:val="hybridMultilevel"/>
    <w:tmpl w:val="D1DC7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F012E9"/>
    <w:multiLevelType w:val="hybridMultilevel"/>
    <w:tmpl w:val="5A46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BA48D1"/>
    <w:multiLevelType w:val="hybridMultilevel"/>
    <w:tmpl w:val="5F360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5601D3"/>
    <w:multiLevelType w:val="hybridMultilevel"/>
    <w:tmpl w:val="54B03E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AB0C1F"/>
    <w:multiLevelType w:val="hybridMultilevel"/>
    <w:tmpl w:val="EDD256A8"/>
    <w:lvl w:ilvl="0" w:tplc="DB3AFC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BFE5F48"/>
    <w:multiLevelType w:val="hybridMultilevel"/>
    <w:tmpl w:val="3612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DC33C8"/>
    <w:multiLevelType w:val="hybridMultilevel"/>
    <w:tmpl w:val="8272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22387F"/>
    <w:multiLevelType w:val="hybridMultilevel"/>
    <w:tmpl w:val="7284AF1E"/>
    <w:lvl w:ilvl="0" w:tplc="ED7086E0">
      <w:start w:val="1"/>
      <w:numFmt w:val="decimal"/>
      <w:lvlText w:val="%1."/>
      <w:lvlJc w:val="left"/>
      <w:pPr>
        <w:tabs>
          <w:tab w:val="num" w:pos="720"/>
        </w:tabs>
        <w:ind w:left="720" w:hanging="360"/>
      </w:pPr>
      <w:rPr>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31F54901"/>
    <w:multiLevelType w:val="hybridMultilevel"/>
    <w:tmpl w:val="DC76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630CB3"/>
    <w:multiLevelType w:val="hybridMultilevel"/>
    <w:tmpl w:val="B4583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3AC1287"/>
    <w:multiLevelType w:val="hybridMultilevel"/>
    <w:tmpl w:val="E1B4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0F5D9D"/>
    <w:multiLevelType w:val="hybridMultilevel"/>
    <w:tmpl w:val="223A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845DBD"/>
    <w:multiLevelType w:val="hybridMultilevel"/>
    <w:tmpl w:val="AD06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AB45D7"/>
    <w:multiLevelType w:val="hybridMultilevel"/>
    <w:tmpl w:val="388A9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4F84258"/>
    <w:multiLevelType w:val="hybridMultilevel"/>
    <w:tmpl w:val="B2F63D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6564AE9"/>
    <w:multiLevelType w:val="hybridMultilevel"/>
    <w:tmpl w:val="40C07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2829BF"/>
    <w:multiLevelType w:val="hybridMultilevel"/>
    <w:tmpl w:val="FFA870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9603BB"/>
    <w:multiLevelType w:val="hybridMultilevel"/>
    <w:tmpl w:val="880CD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8C1850"/>
    <w:multiLevelType w:val="hybridMultilevel"/>
    <w:tmpl w:val="DB002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DF230F2"/>
    <w:multiLevelType w:val="hybridMultilevel"/>
    <w:tmpl w:val="E0A6DBAC"/>
    <w:lvl w:ilvl="0" w:tplc="84AAF24C">
      <w:numFmt w:val="bullet"/>
      <w:lvlText w:val="-"/>
      <w:lvlJc w:val="left"/>
      <w:pPr>
        <w:ind w:left="360" w:hanging="360"/>
      </w:pPr>
      <w:rPr>
        <w:rFonts w:ascii="Calibri" w:eastAsia="@Microsoft YaHei" w:hAnsi="Calibri" w:cs="Times New Roman" w:hint="default"/>
        <w:b/>
        <w:i w:val="0"/>
      </w:rPr>
    </w:lvl>
    <w:lvl w:ilvl="1" w:tplc="84AAF24C">
      <w:numFmt w:val="bullet"/>
      <w:lvlText w:val="-"/>
      <w:lvlJc w:val="left"/>
      <w:pPr>
        <w:ind w:left="1080" w:hanging="360"/>
      </w:pPr>
      <w:rPr>
        <w:rFonts w:ascii="Calibri" w:eastAsia="@Microsoft YaHei"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DF81B6C"/>
    <w:multiLevelType w:val="hybridMultilevel"/>
    <w:tmpl w:val="78FE0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E544FD3"/>
    <w:multiLevelType w:val="hybridMultilevel"/>
    <w:tmpl w:val="37926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26313EE"/>
    <w:multiLevelType w:val="hybridMultilevel"/>
    <w:tmpl w:val="C706ADA8"/>
    <w:lvl w:ilvl="0" w:tplc="08090001">
      <w:start w:val="1"/>
      <w:numFmt w:val="bullet"/>
      <w:lvlText w:val=""/>
      <w:lvlJc w:val="left"/>
      <w:pPr>
        <w:ind w:left="33" w:hanging="360"/>
      </w:pPr>
      <w:rPr>
        <w:rFonts w:ascii="Symbol" w:hAnsi="Symbol" w:hint="default"/>
      </w:rPr>
    </w:lvl>
    <w:lvl w:ilvl="1" w:tplc="08090003">
      <w:start w:val="1"/>
      <w:numFmt w:val="bullet"/>
      <w:lvlText w:val="o"/>
      <w:lvlJc w:val="left"/>
      <w:pPr>
        <w:ind w:left="753" w:hanging="360"/>
      </w:pPr>
      <w:rPr>
        <w:rFonts w:ascii="Courier New" w:hAnsi="Courier New" w:cs="Courier New" w:hint="default"/>
      </w:rPr>
    </w:lvl>
    <w:lvl w:ilvl="2" w:tplc="08090005">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cs="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cs="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44" w15:restartNumberingAfterBreak="0">
    <w:nsid w:val="42795E13"/>
    <w:multiLevelType w:val="hybridMultilevel"/>
    <w:tmpl w:val="B70E29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428537C2"/>
    <w:multiLevelType w:val="hybridMultilevel"/>
    <w:tmpl w:val="BC521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48CD2B30"/>
    <w:multiLevelType w:val="hybridMultilevel"/>
    <w:tmpl w:val="3AB6A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E075F8"/>
    <w:multiLevelType w:val="hybridMultilevel"/>
    <w:tmpl w:val="0916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CC3ED8"/>
    <w:multiLevelType w:val="hybridMultilevel"/>
    <w:tmpl w:val="503439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4B2E61DC"/>
    <w:multiLevelType w:val="hybridMultilevel"/>
    <w:tmpl w:val="FC60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716680"/>
    <w:multiLevelType w:val="hybridMultilevel"/>
    <w:tmpl w:val="F3C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221BCA"/>
    <w:multiLevelType w:val="hybridMultilevel"/>
    <w:tmpl w:val="A134D2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2" w15:restartNumberingAfterBreak="0">
    <w:nsid w:val="57175E1C"/>
    <w:multiLevelType w:val="hybridMultilevel"/>
    <w:tmpl w:val="12A83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213A2E"/>
    <w:multiLevelType w:val="hybridMultilevel"/>
    <w:tmpl w:val="B2366F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589E75B2"/>
    <w:multiLevelType w:val="hybridMultilevel"/>
    <w:tmpl w:val="64488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C51358"/>
    <w:multiLevelType w:val="hybridMultilevel"/>
    <w:tmpl w:val="60E46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BB2080A"/>
    <w:multiLevelType w:val="hybridMultilevel"/>
    <w:tmpl w:val="0C5440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7" w15:restartNumberingAfterBreak="0">
    <w:nsid w:val="5E616A73"/>
    <w:multiLevelType w:val="multilevel"/>
    <w:tmpl w:val="141A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F32414B"/>
    <w:multiLevelType w:val="hybridMultilevel"/>
    <w:tmpl w:val="3CA6251A"/>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59" w15:restartNumberingAfterBreak="0">
    <w:nsid w:val="605C75A6"/>
    <w:multiLevelType w:val="multilevel"/>
    <w:tmpl w:val="5D64282C"/>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0" w15:restartNumberingAfterBreak="0">
    <w:nsid w:val="621A57AA"/>
    <w:multiLevelType w:val="hybridMultilevel"/>
    <w:tmpl w:val="491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BE5918"/>
    <w:multiLevelType w:val="hybridMultilevel"/>
    <w:tmpl w:val="60425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9A07057"/>
    <w:multiLevelType w:val="hybridMultilevel"/>
    <w:tmpl w:val="FEBC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B22A55"/>
    <w:multiLevelType w:val="hybridMultilevel"/>
    <w:tmpl w:val="9790198E"/>
    <w:lvl w:ilvl="0" w:tplc="B5EE21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E9C136E"/>
    <w:multiLevelType w:val="hybridMultilevel"/>
    <w:tmpl w:val="9E964B32"/>
    <w:lvl w:ilvl="0" w:tplc="08090001">
      <w:start w:val="1"/>
      <w:numFmt w:val="bullet"/>
      <w:lvlText w:val=""/>
      <w:lvlJc w:val="left"/>
      <w:pPr>
        <w:ind w:left="22" w:hanging="360"/>
      </w:pPr>
      <w:rPr>
        <w:rFonts w:ascii="Symbol" w:hAnsi="Symbol" w:hint="default"/>
      </w:rPr>
    </w:lvl>
    <w:lvl w:ilvl="1" w:tplc="08090001">
      <w:start w:val="1"/>
      <w:numFmt w:val="bullet"/>
      <w:lvlText w:val=""/>
      <w:lvlJc w:val="left"/>
      <w:pPr>
        <w:ind w:left="742" w:hanging="360"/>
      </w:pPr>
      <w:rPr>
        <w:rFonts w:ascii="Symbol" w:hAnsi="Symbol" w:hint="default"/>
      </w:rPr>
    </w:lvl>
    <w:lvl w:ilvl="2" w:tplc="08090001">
      <w:start w:val="1"/>
      <w:numFmt w:val="bullet"/>
      <w:lvlText w:val=""/>
      <w:lvlJc w:val="left"/>
      <w:pPr>
        <w:ind w:left="1462" w:hanging="360"/>
      </w:pPr>
      <w:rPr>
        <w:rFonts w:ascii="Symbol" w:hAnsi="Symbol" w:hint="default"/>
      </w:rPr>
    </w:lvl>
    <w:lvl w:ilvl="3" w:tplc="08090001" w:tentative="1">
      <w:start w:val="1"/>
      <w:numFmt w:val="bullet"/>
      <w:lvlText w:val=""/>
      <w:lvlJc w:val="left"/>
      <w:pPr>
        <w:ind w:left="2182" w:hanging="360"/>
      </w:pPr>
      <w:rPr>
        <w:rFonts w:ascii="Symbol" w:hAnsi="Symbol" w:hint="default"/>
      </w:rPr>
    </w:lvl>
    <w:lvl w:ilvl="4" w:tplc="08090003" w:tentative="1">
      <w:start w:val="1"/>
      <w:numFmt w:val="bullet"/>
      <w:lvlText w:val="o"/>
      <w:lvlJc w:val="left"/>
      <w:pPr>
        <w:ind w:left="2902" w:hanging="360"/>
      </w:pPr>
      <w:rPr>
        <w:rFonts w:ascii="Courier New" w:hAnsi="Courier New" w:cs="Courier New" w:hint="default"/>
      </w:rPr>
    </w:lvl>
    <w:lvl w:ilvl="5" w:tplc="08090005" w:tentative="1">
      <w:start w:val="1"/>
      <w:numFmt w:val="bullet"/>
      <w:lvlText w:val=""/>
      <w:lvlJc w:val="left"/>
      <w:pPr>
        <w:ind w:left="3622" w:hanging="360"/>
      </w:pPr>
      <w:rPr>
        <w:rFonts w:ascii="Wingdings" w:hAnsi="Wingdings" w:hint="default"/>
      </w:rPr>
    </w:lvl>
    <w:lvl w:ilvl="6" w:tplc="08090001" w:tentative="1">
      <w:start w:val="1"/>
      <w:numFmt w:val="bullet"/>
      <w:lvlText w:val=""/>
      <w:lvlJc w:val="left"/>
      <w:pPr>
        <w:ind w:left="4342" w:hanging="360"/>
      </w:pPr>
      <w:rPr>
        <w:rFonts w:ascii="Symbol" w:hAnsi="Symbol" w:hint="default"/>
      </w:rPr>
    </w:lvl>
    <w:lvl w:ilvl="7" w:tplc="08090003" w:tentative="1">
      <w:start w:val="1"/>
      <w:numFmt w:val="bullet"/>
      <w:lvlText w:val="o"/>
      <w:lvlJc w:val="left"/>
      <w:pPr>
        <w:ind w:left="5062" w:hanging="360"/>
      </w:pPr>
      <w:rPr>
        <w:rFonts w:ascii="Courier New" w:hAnsi="Courier New" w:cs="Courier New" w:hint="default"/>
      </w:rPr>
    </w:lvl>
    <w:lvl w:ilvl="8" w:tplc="08090005" w:tentative="1">
      <w:start w:val="1"/>
      <w:numFmt w:val="bullet"/>
      <w:lvlText w:val=""/>
      <w:lvlJc w:val="left"/>
      <w:pPr>
        <w:ind w:left="5782" w:hanging="360"/>
      </w:pPr>
      <w:rPr>
        <w:rFonts w:ascii="Wingdings" w:hAnsi="Wingdings" w:hint="default"/>
      </w:rPr>
    </w:lvl>
  </w:abstractNum>
  <w:abstractNum w:abstractNumId="65" w15:restartNumberingAfterBreak="0">
    <w:nsid w:val="74CD3F16"/>
    <w:multiLevelType w:val="hybridMultilevel"/>
    <w:tmpl w:val="C1846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5354F77"/>
    <w:multiLevelType w:val="hybridMultilevel"/>
    <w:tmpl w:val="01A2EF1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67" w15:restartNumberingAfterBreak="0">
    <w:nsid w:val="75981900"/>
    <w:multiLevelType w:val="hybridMultilevel"/>
    <w:tmpl w:val="ADD6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36584C"/>
    <w:multiLevelType w:val="hybridMultilevel"/>
    <w:tmpl w:val="433CD8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8E24C8B"/>
    <w:multiLevelType w:val="hybridMultilevel"/>
    <w:tmpl w:val="971473D4"/>
    <w:lvl w:ilvl="0" w:tplc="23F48886">
      <w:start w:val="1"/>
      <w:numFmt w:val="bullet"/>
      <w:lvlText w:val=""/>
      <w:lvlJc w:val="left"/>
      <w:pPr>
        <w:ind w:left="862" w:hanging="360"/>
      </w:pPr>
      <w:rPr>
        <w:rFonts w:ascii="Symbol" w:hAnsi="Symbol" w:hint="default"/>
        <w:color w:val="FF0000"/>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0" w15:restartNumberingAfterBreak="0">
    <w:nsid w:val="7D766BDA"/>
    <w:multiLevelType w:val="hybridMultilevel"/>
    <w:tmpl w:val="3340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E46EE4"/>
    <w:multiLevelType w:val="hybridMultilevel"/>
    <w:tmpl w:val="ED36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DA3CF0"/>
    <w:multiLevelType w:val="hybridMultilevel"/>
    <w:tmpl w:val="AA08A1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7"/>
  </w:num>
  <w:num w:numId="2">
    <w:abstractNumId w:val="22"/>
  </w:num>
  <w:num w:numId="3">
    <w:abstractNumId w:val="21"/>
  </w:num>
  <w:num w:numId="4">
    <w:abstractNumId w:val="34"/>
  </w:num>
  <w:num w:numId="5">
    <w:abstractNumId w:val="52"/>
  </w:num>
  <w:num w:numId="6">
    <w:abstractNumId w:val="8"/>
  </w:num>
  <w:num w:numId="7">
    <w:abstractNumId w:val="68"/>
  </w:num>
  <w:num w:numId="8">
    <w:abstractNumId w:val="54"/>
  </w:num>
  <w:num w:numId="9">
    <w:abstractNumId w:val="24"/>
  </w:num>
  <w:num w:numId="10">
    <w:abstractNumId w:val="62"/>
  </w:num>
  <w:num w:numId="11">
    <w:abstractNumId w:val="58"/>
  </w:num>
  <w:num w:numId="12">
    <w:abstractNumId w:val="65"/>
  </w:num>
  <w:num w:numId="13">
    <w:abstractNumId w:val="15"/>
  </w:num>
  <w:num w:numId="14">
    <w:abstractNumId w:val="0"/>
  </w:num>
  <w:num w:numId="15">
    <w:abstractNumId w:val="20"/>
  </w:num>
  <w:num w:numId="16">
    <w:abstractNumId w:val="35"/>
  </w:num>
  <w:num w:numId="17">
    <w:abstractNumId w:val="11"/>
  </w:num>
  <w:num w:numId="18">
    <w:abstractNumId w:val="9"/>
  </w:num>
  <w:num w:numId="19">
    <w:abstractNumId w:val="19"/>
  </w:num>
  <w:num w:numId="20">
    <w:abstractNumId w:val="43"/>
  </w:num>
  <w:num w:numId="21">
    <w:abstractNumId w:val="56"/>
  </w:num>
  <w:num w:numId="22">
    <w:abstractNumId w:val="25"/>
  </w:num>
  <w:num w:numId="23">
    <w:abstractNumId w:val="63"/>
  </w:num>
  <w:num w:numId="24">
    <w:abstractNumId w:val="59"/>
  </w:num>
  <w:num w:numId="25">
    <w:abstractNumId w:val="50"/>
  </w:num>
  <w:num w:numId="26">
    <w:abstractNumId w:val="49"/>
  </w:num>
  <w:num w:numId="27">
    <w:abstractNumId w:val="70"/>
  </w:num>
  <w:num w:numId="28">
    <w:abstractNumId w:val="1"/>
  </w:num>
  <w:num w:numId="29">
    <w:abstractNumId w:val="7"/>
  </w:num>
  <w:num w:numId="30">
    <w:abstractNumId w:val="53"/>
  </w:num>
  <w:num w:numId="31">
    <w:abstractNumId w:val="64"/>
  </w:num>
  <w:num w:numId="32">
    <w:abstractNumId w:val="3"/>
  </w:num>
  <w:num w:numId="33">
    <w:abstractNumId w:val="6"/>
  </w:num>
  <w:num w:numId="34">
    <w:abstractNumId w:val="6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1"/>
  </w:num>
  <w:num w:numId="38">
    <w:abstractNumId w:val="26"/>
  </w:num>
  <w:num w:numId="39">
    <w:abstractNumId w:val="40"/>
  </w:num>
  <w:num w:numId="40">
    <w:abstractNumId w:val="37"/>
  </w:num>
  <w:num w:numId="41">
    <w:abstractNumId w:val="69"/>
  </w:num>
  <w:num w:numId="42">
    <w:abstractNumId w:val="2"/>
  </w:num>
  <w:num w:numId="43">
    <w:abstractNumId w:val="10"/>
  </w:num>
  <w:num w:numId="44">
    <w:abstractNumId w:val="29"/>
  </w:num>
  <w:num w:numId="45">
    <w:abstractNumId w:val="47"/>
  </w:num>
  <w:num w:numId="46">
    <w:abstractNumId w:val="17"/>
  </w:num>
  <w:num w:numId="47">
    <w:abstractNumId w:val="32"/>
  </w:num>
  <w:num w:numId="48">
    <w:abstractNumId w:val="33"/>
  </w:num>
  <w:num w:numId="49">
    <w:abstractNumId w:val="27"/>
  </w:num>
  <w:num w:numId="50">
    <w:abstractNumId w:val="14"/>
  </w:num>
  <w:num w:numId="51">
    <w:abstractNumId w:val="67"/>
  </w:num>
  <w:num w:numId="52">
    <w:abstractNumId w:val="13"/>
  </w:num>
  <w:num w:numId="53">
    <w:abstractNumId w:val="30"/>
  </w:num>
  <w:num w:numId="54">
    <w:abstractNumId w:val="55"/>
  </w:num>
  <w:num w:numId="55">
    <w:abstractNumId w:val="48"/>
  </w:num>
  <w:num w:numId="56">
    <w:abstractNumId w:val="18"/>
  </w:num>
  <w:num w:numId="57">
    <w:abstractNumId w:val="39"/>
  </w:num>
  <w:num w:numId="58">
    <w:abstractNumId w:val="51"/>
  </w:num>
  <w:num w:numId="59">
    <w:abstractNumId w:val="36"/>
  </w:num>
  <w:num w:numId="60">
    <w:abstractNumId w:val="4"/>
  </w:num>
  <w:num w:numId="61">
    <w:abstractNumId w:val="46"/>
  </w:num>
  <w:num w:numId="62">
    <w:abstractNumId w:val="71"/>
  </w:num>
  <w:num w:numId="63">
    <w:abstractNumId w:val="38"/>
  </w:num>
  <w:num w:numId="64">
    <w:abstractNumId w:val="23"/>
  </w:num>
  <w:num w:numId="65">
    <w:abstractNumId w:val="12"/>
  </w:num>
  <w:num w:numId="66">
    <w:abstractNumId w:val="61"/>
  </w:num>
  <w:num w:numId="67">
    <w:abstractNumId w:val="45"/>
  </w:num>
  <w:num w:numId="68">
    <w:abstractNumId w:val="72"/>
  </w:num>
  <w:num w:numId="69">
    <w:abstractNumId w:val="42"/>
  </w:num>
  <w:num w:numId="70">
    <w:abstractNumId w:val="60"/>
  </w:num>
  <w:num w:numId="71">
    <w:abstractNumId w:val="41"/>
  </w:num>
  <w:num w:numId="72">
    <w:abstractNumId w:val="44"/>
  </w:num>
  <w:num w:numId="73">
    <w:abstractNumId w:val="16"/>
  </w:num>
  <w:num w:numId="74">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0A"/>
    <w:rsid w:val="000011C9"/>
    <w:rsid w:val="00003B83"/>
    <w:rsid w:val="00006665"/>
    <w:rsid w:val="00007146"/>
    <w:rsid w:val="00007604"/>
    <w:rsid w:val="0001442D"/>
    <w:rsid w:val="00017BA4"/>
    <w:rsid w:val="000211AF"/>
    <w:rsid w:val="000217E9"/>
    <w:rsid w:val="00022B80"/>
    <w:rsid w:val="00032A54"/>
    <w:rsid w:val="000433B7"/>
    <w:rsid w:val="00045BF0"/>
    <w:rsid w:val="00056BF9"/>
    <w:rsid w:val="00063724"/>
    <w:rsid w:val="00064CDE"/>
    <w:rsid w:val="000660E3"/>
    <w:rsid w:val="00066F83"/>
    <w:rsid w:val="000724C9"/>
    <w:rsid w:val="00073FEF"/>
    <w:rsid w:val="00075C50"/>
    <w:rsid w:val="000775F1"/>
    <w:rsid w:val="00082423"/>
    <w:rsid w:val="000827C3"/>
    <w:rsid w:val="00082AC6"/>
    <w:rsid w:val="0009005A"/>
    <w:rsid w:val="00094A6E"/>
    <w:rsid w:val="00094F1C"/>
    <w:rsid w:val="000A067E"/>
    <w:rsid w:val="000A3602"/>
    <w:rsid w:val="000B117A"/>
    <w:rsid w:val="000B603E"/>
    <w:rsid w:val="000B60C3"/>
    <w:rsid w:val="000C5E00"/>
    <w:rsid w:val="000C7F82"/>
    <w:rsid w:val="000D49D5"/>
    <w:rsid w:val="000D66CE"/>
    <w:rsid w:val="000E0D7F"/>
    <w:rsid w:val="000E2161"/>
    <w:rsid w:val="000E605E"/>
    <w:rsid w:val="000E63C0"/>
    <w:rsid w:val="000E6996"/>
    <w:rsid w:val="000F1D95"/>
    <w:rsid w:val="000F3C3D"/>
    <w:rsid w:val="000F43E7"/>
    <w:rsid w:val="000F4E05"/>
    <w:rsid w:val="000F6393"/>
    <w:rsid w:val="00107A6E"/>
    <w:rsid w:val="0011230B"/>
    <w:rsid w:val="00117270"/>
    <w:rsid w:val="00122980"/>
    <w:rsid w:val="0012495F"/>
    <w:rsid w:val="00124E51"/>
    <w:rsid w:val="00124F87"/>
    <w:rsid w:val="00126E85"/>
    <w:rsid w:val="00131192"/>
    <w:rsid w:val="001344AE"/>
    <w:rsid w:val="00135179"/>
    <w:rsid w:val="0013545C"/>
    <w:rsid w:val="00136B1E"/>
    <w:rsid w:val="00136D12"/>
    <w:rsid w:val="00143E4B"/>
    <w:rsid w:val="00145F7D"/>
    <w:rsid w:val="00151320"/>
    <w:rsid w:val="001529DC"/>
    <w:rsid w:val="00154992"/>
    <w:rsid w:val="00157150"/>
    <w:rsid w:val="00162DA1"/>
    <w:rsid w:val="00176E26"/>
    <w:rsid w:val="001804A2"/>
    <w:rsid w:val="00181AD3"/>
    <w:rsid w:val="001822CE"/>
    <w:rsid w:val="001833B4"/>
    <w:rsid w:val="00190DD1"/>
    <w:rsid w:val="00193D97"/>
    <w:rsid w:val="00197142"/>
    <w:rsid w:val="0019730E"/>
    <w:rsid w:val="00197D01"/>
    <w:rsid w:val="001A4F2C"/>
    <w:rsid w:val="001A55AB"/>
    <w:rsid w:val="001A58CA"/>
    <w:rsid w:val="001A5C3C"/>
    <w:rsid w:val="001A6EAB"/>
    <w:rsid w:val="001B12D2"/>
    <w:rsid w:val="001B38E3"/>
    <w:rsid w:val="001B538D"/>
    <w:rsid w:val="001B6691"/>
    <w:rsid w:val="001C123A"/>
    <w:rsid w:val="001C211D"/>
    <w:rsid w:val="001C74F0"/>
    <w:rsid w:val="001C7F29"/>
    <w:rsid w:val="001D180B"/>
    <w:rsid w:val="001D28F6"/>
    <w:rsid w:val="001D2CF8"/>
    <w:rsid w:val="001D68B7"/>
    <w:rsid w:val="001D6D46"/>
    <w:rsid w:val="001E43CC"/>
    <w:rsid w:val="00202DC9"/>
    <w:rsid w:val="00203B46"/>
    <w:rsid w:val="0020543A"/>
    <w:rsid w:val="00221CE1"/>
    <w:rsid w:val="00225FDC"/>
    <w:rsid w:val="00230197"/>
    <w:rsid w:val="00231B8A"/>
    <w:rsid w:val="00232D3C"/>
    <w:rsid w:val="00236616"/>
    <w:rsid w:val="00243E3A"/>
    <w:rsid w:val="00253510"/>
    <w:rsid w:val="002541ED"/>
    <w:rsid w:val="00257186"/>
    <w:rsid w:val="002622D7"/>
    <w:rsid w:val="00264F28"/>
    <w:rsid w:val="002659D2"/>
    <w:rsid w:val="00265F1A"/>
    <w:rsid w:val="002732F5"/>
    <w:rsid w:val="00276DF1"/>
    <w:rsid w:val="00280BB1"/>
    <w:rsid w:val="00281BBB"/>
    <w:rsid w:val="0028228F"/>
    <w:rsid w:val="00284ABA"/>
    <w:rsid w:val="00287AF6"/>
    <w:rsid w:val="002A07D4"/>
    <w:rsid w:val="002A1D39"/>
    <w:rsid w:val="002A24D3"/>
    <w:rsid w:val="002A313A"/>
    <w:rsid w:val="002A5A74"/>
    <w:rsid w:val="002A744E"/>
    <w:rsid w:val="002B039C"/>
    <w:rsid w:val="002B1A0D"/>
    <w:rsid w:val="002B245B"/>
    <w:rsid w:val="002B4D86"/>
    <w:rsid w:val="002C0896"/>
    <w:rsid w:val="002C09FF"/>
    <w:rsid w:val="002C175A"/>
    <w:rsid w:val="002C34F8"/>
    <w:rsid w:val="002C56ED"/>
    <w:rsid w:val="002C5C44"/>
    <w:rsid w:val="002D4588"/>
    <w:rsid w:val="002E6B97"/>
    <w:rsid w:val="002E6D42"/>
    <w:rsid w:val="002E6F3C"/>
    <w:rsid w:val="002F1BEB"/>
    <w:rsid w:val="002F2298"/>
    <w:rsid w:val="002F2FBF"/>
    <w:rsid w:val="002F3D42"/>
    <w:rsid w:val="002F7724"/>
    <w:rsid w:val="002F7F72"/>
    <w:rsid w:val="003101A2"/>
    <w:rsid w:val="00317954"/>
    <w:rsid w:val="00317A2B"/>
    <w:rsid w:val="00327C2A"/>
    <w:rsid w:val="00327F02"/>
    <w:rsid w:val="00330306"/>
    <w:rsid w:val="00330C5B"/>
    <w:rsid w:val="003357F3"/>
    <w:rsid w:val="00337A93"/>
    <w:rsid w:val="00340FFD"/>
    <w:rsid w:val="003436FE"/>
    <w:rsid w:val="00343DB9"/>
    <w:rsid w:val="00345096"/>
    <w:rsid w:val="00353F81"/>
    <w:rsid w:val="003612E7"/>
    <w:rsid w:val="00361EFC"/>
    <w:rsid w:val="003621EC"/>
    <w:rsid w:val="00363080"/>
    <w:rsid w:val="00380754"/>
    <w:rsid w:val="00381429"/>
    <w:rsid w:val="00382707"/>
    <w:rsid w:val="00382C5E"/>
    <w:rsid w:val="00386776"/>
    <w:rsid w:val="00387E9B"/>
    <w:rsid w:val="00390B0C"/>
    <w:rsid w:val="003915BE"/>
    <w:rsid w:val="00391D9B"/>
    <w:rsid w:val="00393DD5"/>
    <w:rsid w:val="00395BA3"/>
    <w:rsid w:val="003A0B70"/>
    <w:rsid w:val="003A2082"/>
    <w:rsid w:val="003B7E88"/>
    <w:rsid w:val="003C1606"/>
    <w:rsid w:val="003C3988"/>
    <w:rsid w:val="003C7879"/>
    <w:rsid w:val="003D0D4E"/>
    <w:rsid w:val="003D160C"/>
    <w:rsid w:val="003D7832"/>
    <w:rsid w:val="003E0F75"/>
    <w:rsid w:val="003E3F19"/>
    <w:rsid w:val="003E56F8"/>
    <w:rsid w:val="003E66F3"/>
    <w:rsid w:val="003E6EA4"/>
    <w:rsid w:val="00401D58"/>
    <w:rsid w:val="004030A4"/>
    <w:rsid w:val="00405C6A"/>
    <w:rsid w:val="00406E6C"/>
    <w:rsid w:val="00407F24"/>
    <w:rsid w:val="00410187"/>
    <w:rsid w:val="004225CA"/>
    <w:rsid w:val="004279B2"/>
    <w:rsid w:val="00434FBA"/>
    <w:rsid w:val="00445150"/>
    <w:rsid w:val="00447040"/>
    <w:rsid w:val="00447C83"/>
    <w:rsid w:val="004503FB"/>
    <w:rsid w:val="00452FCE"/>
    <w:rsid w:val="00453A80"/>
    <w:rsid w:val="004643EF"/>
    <w:rsid w:val="00470307"/>
    <w:rsid w:val="00473035"/>
    <w:rsid w:val="00475087"/>
    <w:rsid w:val="0047741B"/>
    <w:rsid w:val="004801F5"/>
    <w:rsid w:val="004819FC"/>
    <w:rsid w:val="00482D55"/>
    <w:rsid w:val="004838EE"/>
    <w:rsid w:val="004A2018"/>
    <w:rsid w:val="004A48B6"/>
    <w:rsid w:val="004A5CCE"/>
    <w:rsid w:val="004B3895"/>
    <w:rsid w:val="004B66C0"/>
    <w:rsid w:val="004C31C3"/>
    <w:rsid w:val="004C4463"/>
    <w:rsid w:val="004D6CDF"/>
    <w:rsid w:val="004E4B14"/>
    <w:rsid w:val="004E797E"/>
    <w:rsid w:val="004E7AFC"/>
    <w:rsid w:val="004E7CC4"/>
    <w:rsid w:val="004F2621"/>
    <w:rsid w:val="004F34F8"/>
    <w:rsid w:val="004F6693"/>
    <w:rsid w:val="00502506"/>
    <w:rsid w:val="00511025"/>
    <w:rsid w:val="005164A7"/>
    <w:rsid w:val="00532546"/>
    <w:rsid w:val="00534082"/>
    <w:rsid w:val="005367CB"/>
    <w:rsid w:val="0053786B"/>
    <w:rsid w:val="00540E6C"/>
    <w:rsid w:val="00543C05"/>
    <w:rsid w:val="005446BE"/>
    <w:rsid w:val="0054735A"/>
    <w:rsid w:val="005553A5"/>
    <w:rsid w:val="00556144"/>
    <w:rsid w:val="00567C5A"/>
    <w:rsid w:val="00593751"/>
    <w:rsid w:val="00593926"/>
    <w:rsid w:val="00593AE8"/>
    <w:rsid w:val="0059521D"/>
    <w:rsid w:val="00595B59"/>
    <w:rsid w:val="00596169"/>
    <w:rsid w:val="005965C8"/>
    <w:rsid w:val="005A0A74"/>
    <w:rsid w:val="005A206E"/>
    <w:rsid w:val="005A3AAB"/>
    <w:rsid w:val="005A5F9B"/>
    <w:rsid w:val="005B1414"/>
    <w:rsid w:val="005B2C55"/>
    <w:rsid w:val="005B76E9"/>
    <w:rsid w:val="005C20CC"/>
    <w:rsid w:val="005C3F86"/>
    <w:rsid w:val="005C4D1F"/>
    <w:rsid w:val="005C7F05"/>
    <w:rsid w:val="005E2182"/>
    <w:rsid w:val="005E2D72"/>
    <w:rsid w:val="005E35AB"/>
    <w:rsid w:val="005E47F7"/>
    <w:rsid w:val="005E6B97"/>
    <w:rsid w:val="005E6D3A"/>
    <w:rsid w:val="005E745C"/>
    <w:rsid w:val="005E783E"/>
    <w:rsid w:val="005F7EF2"/>
    <w:rsid w:val="006019B6"/>
    <w:rsid w:val="006061A0"/>
    <w:rsid w:val="0061056F"/>
    <w:rsid w:val="006143BD"/>
    <w:rsid w:val="00617179"/>
    <w:rsid w:val="0062567D"/>
    <w:rsid w:val="006272D1"/>
    <w:rsid w:val="00627620"/>
    <w:rsid w:val="00627622"/>
    <w:rsid w:val="006312C3"/>
    <w:rsid w:val="00631A7E"/>
    <w:rsid w:val="00635BB4"/>
    <w:rsid w:val="00641FB7"/>
    <w:rsid w:val="00643150"/>
    <w:rsid w:val="00647FBA"/>
    <w:rsid w:val="00653D90"/>
    <w:rsid w:val="006631E0"/>
    <w:rsid w:val="00664F77"/>
    <w:rsid w:val="0067023A"/>
    <w:rsid w:val="0067044F"/>
    <w:rsid w:val="00671FD3"/>
    <w:rsid w:val="00676FC6"/>
    <w:rsid w:val="00677715"/>
    <w:rsid w:val="0068758D"/>
    <w:rsid w:val="006915FF"/>
    <w:rsid w:val="006921D8"/>
    <w:rsid w:val="006921F4"/>
    <w:rsid w:val="006A1DC1"/>
    <w:rsid w:val="006A48E3"/>
    <w:rsid w:val="006B0D43"/>
    <w:rsid w:val="006B498B"/>
    <w:rsid w:val="006C1EE2"/>
    <w:rsid w:val="006C328B"/>
    <w:rsid w:val="006D669C"/>
    <w:rsid w:val="006D738C"/>
    <w:rsid w:val="006E1A66"/>
    <w:rsid w:val="006E7179"/>
    <w:rsid w:val="006E7ACA"/>
    <w:rsid w:val="006F14C9"/>
    <w:rsid w:val="006F2B57"/>
    <w:rsid w:val="006F7DA5"/>
    <w:rsid w:val="007002FB"/>
    <w:rsid w:val="0070345D"/>
    <w:rsid w:val="00703875"/>
    <w:rsid w:val="00715ECD"/>
    <w:rsid w:val="007224D5"/>
    <w:rsid w:val="007241B3"/>
    <w:rsid w:val="00724C93"/>
    <w:rsid w:val="00727AD1"/>
    <w:rsid w:val="0073377F"/>
    <w:rsid w:val="00744B8D"/>
    <w:rsid w:val="00745825"/>
    <w:rsid w:val="00747BD4"/>
    <w:rsid w:val="00751902"/>
    <w:rsid w:val="0075597A"/>
    <w:rsid w:val="007618EE"/>
    <w:rsid w:val="007735A3"/>
    <w:rsid w:val="007763C6"/>
    <w:rsid w:val="0077734B"/>
    <w:rsid w:val="00777C89"/>
    <w:rsid w:val="00780F3D"/>
    <w:rsid w:val="007849A6"/>
    <w:rsid w:val="007870BA"/>
    <w:rsid w:val="00792A23"/>
    <w:rsid w:val="00796656"/>
    <w:rsid w:val="007A04A0"/>
    <w:rsid w:val="007A25D5"/>
    <w:rsid w:val="007A26B9"/>
    <w:rsid w:val="007A2E42"/>
    <w:rsid w:val="007A4BD4"/>
    <w:rsid w:val="007B1126"/>
    <w:rsid w:val="007B2F08"/>
    <w:rsid w:val="007B5807"/>
    <w:rsid w:val="007C559F"/>
    <w:rsid w:val="007C58AD"/>
    <w:rsid w:val="007C621B"/>
    <w:rsid w:val="007D58CF"/>
    <w:rsid w:val="007D6761"/>
    <w:rsid w:val="007E22AB"/>
    <w:rsid w:val="007F07F9"/>
    <w:rsid w:val="007F461C"/>
    <w:rsid w:val="0080044D"/>
    <w:rsid w:val="00801346"/>
    <w:rsid w:val="0080430C"/>
    <w:rsid w:val="00804B34"/>
    <w:rsid w:val="008100EB"/>
    <w:rsid w:val="0081147D"/>
    <w:rsid w:val="00811E69"/>
    <w:rsid w:val="00814806"/>
    <w:rsid w:val="00816E6B"/>
    <w:rsid w:val="00817397"/>
    <w:rsid w:val="00821101"/>
    <w:rsid w:val="00821BFE"/>
    <w:rsid w:val="00826B80"/>
    <w:rsid w:val="008321C0"/>
    <w:rsid w:val="00836DCF"/>
    <w:rsid w:val="0084163A"/>
    <w:rsid w:val="00842020"/>
    <w:rsid w:val="008446A5"/>
    <w:rsid w:val="008544DD"/>
    <w:rsid w:val="00854819"/>
    <w:rsid w:val="008556EE"/>
    <w:rsid w:val="0086106C"/>
    <w:rsid w:val="008800FE"/>
    <w:rsid w:val="008801A7"/>
    <w:rsid w:val="0088746E"/>
    <w:rsid w:val="008911F6"/>
    <w:rsid w:val="008A34F7"/>
    <w:rsid w:val="008A45E0"/>
    <w:rsid w:val="008B13DD"/>
    <w:rsid w:val="008B1A70"/>
    <w:rsid w:val="008B2439"/>
    <w:rsid w:val="008C2769"/>
    <w:rsid w:val="008C64AE"/>
    <w:rsid w:val="008D29D1"/>
    <w:rsid w:val="008D2B2D"/>
    <w:rsid w:val="008D3CF9"/>
    <w:rsid w:val="008E3862"/>
    <w:rsid w:val="008E3B17"/>
    <w:rsid w:val="008F7A58"/>
    <w:rsid w:val="009040D7"/>
    <w:rsid w:val="0090432C"/>
    <w:rsid w:val="009059CA"/>
    <w:rsid w:val="009071BD"/>
    <w:rsid w:val="00913AE0"/>
    <w:rsid w:val="00914636"/>
    <w:rsid w:val="00914F43"/>
    <w:rsid w:val="009166C4"/>
    <w:rsid w:val="009167C2"/>
    <w:rsid w:val="00927D41"/>
    <w:rsid w:val="00932B04"/>
    <w:rsid w:val="009340AE"/>
    <w:rsid w:val="009358C3"/>
    <w:rsid w:val="00935DFA"/>
    <w:rsid w:val="009409F6"/>
    <w:rsid w:val="0095400F"/>
    <w:rsid w:val="009570C2"/>
    <w:rsid w:val="009574C5"/>
    <w:rsid w:val="00963934"/>
    <w:rsid w:val="00963C90"/>
    <w:rsid w:val="00965A56"/>
    <w:rsid w:val="00967714"/>
    <w:rsid w:val="0097018C"/>
    <w:rsid w:val="00974C98"/>
    <w:rsid w:val="00976A13"/>
    <w:rsid w:val="009775C7"/>
    <w:rsid w:val="009777E8"/>
    <w:rsid w:val="00993377"/>
    <w:rsid w:val="0099581D"/>
    <w:rsid w:val="009B27F9"/>
    <w:rsid w:val="009B5074"/>
    <w:rsid w:val="009B6379"/>
    <w:rsid w:val="009C5757"/>
    <w:rsid w:val="009D4856"/>
    <w:rsid w:val="009D4D2E"/>
    <w:rsid w:val="009D7445"/>
    <w:rsid w:val="009E0F19"/>
    <w:rsid w:val="009F7999"/>
    <w:rsid w:val="00A00E6B"/>
    <w:rsid w:val="00A01A05"/>
    <w:rsid w:val="00A01B9D"/>
    <w:rsid w:val="00A021AD"/>
    <w:rsid w:val="00A022CA"/>
    <w:rsid w:val="00A03E83"/>
    <w:rsid w:val="00A06E2F"/>
    <w:rsid w:val="00A10401"/>
    <w:rsid w:val="00A15F0A"/>
    <w:rsid w:val="00A20E88"/>
    <w:rsid w:val="00A275D6"/>
    <w:rsid w:val="00A311AC"/>
    <w:rsid w:val="00A33512"/>
    <w:rsid w:val="00A36B5F"/>
    <w:rsid w:val="00A41E4E"/>
    <w:rsid w:val="00A42B85"/>
    <w:rsid w:val="00A46E72"/>
    <w:rsid w:val="00A4793F"/>
    <w:rsid w:val="00A51836"/>
    <w:rsid w:val="00A54B0E"/>
    <w:rsid w:val="00A57A70"/>
    <w:rsid w:val="00A6298E"/>
    <w:rsid w:val="00A73F57"/>
    <w:rsid w:val="00A8306B"/>
    <w:rsid w:val="00A840AA"/>
    <w:rsid w:val="00A84725"/>
    <w:rsid w:val="00A855E0"/>
    <w:rsid w:val="00A9640F"/>
    <w:rsid w:val="00AA6EBC"/>
    <w:rsid w:val="00AA741A"/>
    <w:rsid w:val="00AB5820"/>
    <w:rsid w:val="00AB5AFB"/>
    <w:rsid w:val="00AC3A9C"/>
    <w:rsid w:val="00AD13EE"/>
    <w:rsid w:val="00AD2C94"/>
    <w:rsid w:val="00AD323D"/>
    <w:rsid w:val="00AD58F8"/>
    <w:rsid w:val="00AD6665"/>
    <w:rsid w:val="00AE3713"/>
    <w:rsid w:val="00AF0C99"/>
    <w:rsid w:val="00B00549"/>
    <w:rsid w:val="00B05AE1"/>
    <w:rsid w:val="00B05E68"/>
    <w:rsid w:val="00B06DFF"/>
    <w:rsid w:val="00B1342E"/>
    <w:rsid w:val="00B144CD"/>
    <w:rsid w:val="00B21806"/>
    <w:rsid w:val="00B26C99"/>
    <w:rsid w:val="00B32203"/>
    <w:rsid w:val="00B33AD0"/>
    <w:rsid w:val="00B45605"/>
    <w:rsid w:val="00B45D48"/>
    <w:rsid w:val="00B46804"/>
    <w:rsid w:val="00B527D5"/>
    <w:rsid w:val="00B5412E"/>
    <w:rsid w:val="00B6356C"/>
    <w:rsid w:val="00B673CF"/>
    <w:rsid w:val="00B73D6A"/>
    <w:rsid w:val="00B813C1"/>
    <w:rsid w:val="00B83816"/>
    <w:rsid w:val="00B83CD6"/>
    <w:rsid w:val="00B849BB"/>
    <w:rsid w:val="00B84D4C"/>
    <w:rsid w:val="00B84F45"/>
    <w:rsid w:val="00B85C01"/>
    <w:rsid w:val="00B910CE"/>
    <w:rsid w:val="00B92877"/>
    <w:rsid w:val="00B9320A"/>
    <w:rsid w:val="00BA3C34"/>
    <w:rsid w:val="00BA4383"/>
    <w:rsid w:val="00BB15D7"/>
    <w:rsid w:val="00BB3E27"/>
    <w:rsid w:val="00BC00C3"/>
    <w:rsid w:val="00BD1A97"/>
    <w:rsid w:val="00BD1C52"/>
    <w:rsid w:val="00BD4007"/>
    <w:rsid w:val="00BE1297"/>
    <w:rsid w:val="00BE13CC"/>
    <w:rsid w:val="00BF1DF9"/>
    <w:rsid w:val="00BF2ABD"/>
    <w:rsid w:val="00C00754"/>
    <w:rsid w:val="00C0138D"/>
    <w:rsid w:val="00C03BA4"/>
    <w:rsid w:val="00C12C42"/>
    <w:rsid w:val="00C17B13"/>
    <w:rsid w:val="00C21426"/>
    <w:rsid w:val="00C32E95"/>
    <w:rsid w:val="00C34277"/>
    <w:rsid w:val="00C351FF"/>
    <w:rsid w:val="00C3569B"/>
    <w:rsid w:val="00C36381"/>
    <w:rsid w:val="00C42547"/>
    <w:rsid w:val="00C4270D"/>
    <w:rsid w:val="00C42C26"/>
    <w:rsid w:val="00C464CB"/>
    <w:rsid w:val="00C47C22"/>
    <w:rsid w:val="00C503BA"/>
    <w:rsid w:val="00C51C2C"/>
    <w:rsid w:val="00C53380"/>
    <w:rsid w:val="00C5425D"/>
    <w:rsid w:val="00C60172"/>
    <w:rsid w:val="00C63398"/>
    <w:rsid w:val="00C645EA"/>
    <w:rsid w:val="00C715F4"/>
    <w:rsid w:val="00C74A8C"/>
    <w:rsid w:val="00C75DA8"/>
    <w:rsid w:val="00C76532"/>
    <w:rsid w:val="00C76E22"/>
    <w:rsid w:val="00C85E8E"/>
    <w:rsid w:val="00C87D9B"/>
    <w:rsid w:val="00C92BA2"/>
    <w:rsid w:val="00C92CB8"/>
    <w:rsid w:val="00C943E2"/>
    <w:rsid w:val="00C970DB"/>
    <w:rsid w:val="00CA098F"/>
    <w:rsid w:val="00CA51BE"/>
    <w:rsid w:val="00CA5DB4"/>
    <w:rsid w:val="00CA67DB"/>
    <w:rsid w:val="00CA74C9"/>
    <w:rsid w:val="00CA7C5E"/>
    <w:rsid w:val="00CB0433"/>
    <w:rsid w:val="00CB13F4"/>
    <w:rsid w:val="00CB1D0D"/>
    <w:rsid w:val="00CB1E24"/>
    <w:rsid w:val="00CB3E82"/>
    <w:rsid w:val="00CB4948"/>
    <w:rsid w:val="00CC1BB5"/>
    <w:rsid w:val="00CC253E"/>
    <w:rsid w:val="00CC32B0"/>
    <w:rsid w:val="00CC3AEE"/>
    <w:rsid w:val="00CC5AC2"/>
    <w:rsid w:val="00CC5C9E"/>
    <w:rsid w:val="00CC74C0"/>
    <w:rsid w:val="00CD10D6"/>
    <w:rsid w:val="00CD1EBF"/>
    <w:rsid w:val="00CD3D9F"/>
    <w:rsid w:val="00CF2D05"/>
    <w:rsid w:val="00CF3B60"/>
    <w:rsid w:val="00CF3F06"/>
    <w:rsid w:val="00D01243"/>
    <w:rsid w:val="00D034A9"/>
    <w:rsid w:val="00D045CE"/>
    <w:rsid w:val="00D0554C"/>
    <w:rsid w:val="00D07D55"/>
    <w:rsid w:val="00D110A9"/>
    <w:rsid w:val="00D124ED"/>
    <w:rsid w:val="00D14407"/>
    <w:rsid w:val="00D155BC"/>
    <w:rsid w:val="00D15DB3"/>
    <w:rsid w:val="00D209AB"/>
    <w:rsid w:val="00D25CAE"/>
    <w:rsid w:val="00D2661F"/>
    <w:rsid w:val="00D454A6"/>
    <w:rsid w:val="00D46C1E"/>
    <w:rsid w:val="00D50F89"/>
    <w:rsid w:val="00D51F50"/>
    <w:rsid w:val="00D70CEE"/>
    <w:rsid w:val="00D84153"/>
    <w:rsid w:val="00D85E74"/>
    <w:rsid w:val="00D86131"/>
    <w:rsid w:val="00D87FF3"/>
    <w:rsid w:val="00D9528B"/>
    <w:rsid w:val="00DA2A9B"/>
    <w:rsid w:val="00DA4D9B"/>
    <w:rsid w:val="00DA521C"/>
    <w:rsid w:val="00DB0ECB"/>
    <w:rsid w:val="00DB4293"/>
    <w:rsid w:val="00DB4458"/>
    <w:rsid w:val="00DB5A3F"/>
    <w:rsid w:val="00DB6DF7"/>
    <w:rsid w:val="00DB6E0B"/>
    <w:rsid w:val="00DC0C53"/>
    <w:rsid w:val="00DC15EA"/>
    <w:rsid w:val="00DC46DB"/>
    <w:rsid w:val="00DD17FE"/>
    <w:rsid w:val="00DD1963"/>
    <w:rsid w:val="00DD46A3"/>
    <w:rsid w:val="00DD53DB"/>
    <w:rsid w:val="00DD56C9"/>
    <w:rsid w:val="00DE1DA3"/>
    <w:rsid w:val="00DE2176"/>
    <w:rsid w:val="00DF1963"/>
    <w:rsid w:val="00DF2FD0"/>
    <w:rsid w:val="00E0150F"/>
    <w:rsid w:val="00E04CEA"/>
    <w:rsid w:val="00E131D3"/>
    <w:rsid w:val="00E15B4C"/>
    <w:rsid w:val="00E306A7"/>
    <w:rsid w:val="00E313C3"/>
    <w:rsid w:val="00E31F3F"/>
    <w:rsid w:val="00E348CE"/>
    <w:rsid w:val="00E350EF"/>
    <w:rsid w:val="00E35850"/>
    <w:rsid w:val="00E368EB"/>
    <w:rsid w:val="00E377AA"/>
    <w:rsid w:val="00E40423"/>
    <w:rsid w:val="00E42AB0"/>
    <w:rsid w:val="00E42F20"/>
    <w:rsid w:val="00E45528"/>
    <w:rsid w:val="00E539F6"/>
    <w:rsid w:val="00E54F57"/>
    <w:rsid w:val="00E56C44"/>
    <w:rsid w:val="00E602C4"/>
    <w:rsid w:val="00E61A3C"/>
    <w:rsid w:val="00E61BBF"/>
    <w:rsid w:val="00E61FED"/>
    <w:rsid w:val="00E65C24"/>
    <w:rsid w:val="00E66282"/>
    <w:rsid w:val="00E90293"/>
    <w:rsid w:val="00E914B4"/>
    <w:rsid w:val="00E91782"/>
    <w:rsid w:val="00E92551"/>
    <w:rsid w:val="00E95A12"/>
    <w:rsid w:val="00EA0002"/>
    <w:rsid w:val="00EA0EEA"/>
    <w:rsid w:val="00EA72F9"/>
    <w:rsid w:val="00EA7557"/>
    <w:rsid w:val="00EB370F"/>
    <w:rsid w:val="00EB6D35"/>
    <w:rsid w:val="00EC1448"/>
    <w:rsid w:val="00EC22F7"/>
    <w:rsid w:val="00EC2E6E"/>
    <w:rsid w:val="00EC5DCD"/>
    <w:rsid w:val="00ED1DC1"/>
    <w:rsid w:val="00ED2D1B"/>
    <w:rsid w:val="00ED53B9"/>
    <w:rsid w:val="00ED66D5"/>
    <w:rsid w:val="00EE55AF"/>
    <w:rsid w:val="00EF0C3A"/>
    <w:rsid w:val="00EF2166"/>
    <w:rsid w:val="00EF317C"/>
    <w:rsid w:val="00EF6AFD"/>
    <w:rsid w:val="00F01F9E"/>
    <w:rsid w:val="00F10F92"/>
    <w:rsid w:val="00F11F3D"/>
    <w:rsid w:val="00F21A5F"/>
    <w:rsid w:val="00F227DA"/>
    <w:rsid w:val="00F24106"/>
    <w:rsid w:val="00F263DA"/>
    <w:rsid w:val="00F36D5F"/>
    <w:rsid w:val="00F40C1D"/>
    <w:rsid w:val="00F41B91"/>
    <w:rsid w:val="00F45955"/>
    <w:rsid w:val="00F45F00"/>
    <w:rsid w:val="00F513F1"/>
    <w:rsid w:val="00F546F3"/>
    <w:rsid w:val="00F5546A"/>
    <w:rsid w:val="00F55CB5"/>
    <w:rsid w:val="00F55CDC"/>
    <w:rsid w:val="00F64415"/>
    <w:rsid w:val="00F653D0"/>
    <w:rsid w:val="00F66456"/>
    <w:rsid w:val="00F73D59"/>
    <w:rsid w:val="00F8146B"/>
    <w:rsid w:val="00F86A1B"/>
    <w:rsid w:val="00F87301"/>
    <w:rsid w:val="00F87F7C"/>
    <w:rsid w:val="00F94C0A"/>
    <w:rsid w:val="00F95D98"/>
    <w:rsid w:val="00F96039"/>
    <w:rsid w:val="00FA0A8A"/>
    <w:rsid w:val="00FB1AF0"/>
    <w:rsid w:val="00FB30F9"/>
    <w:rsid w:val="00FC40EB"/>
    <w:rsid w:val="00FC4748"/>
    <w:rsid w:val="00FC78BE"/>
    <w:rsid w:val="00FC7E59"/>
    <w:rsid w:val="00FD7D0A"/>
    <w:rsid w:val="00FE1F36"/>
    <w:rsid w:val="00FF0874"/>
    <w:rsid w:val="00FF26E1"/>
    <w:rsid w:val="00FF43AA"/>
    <w:rsid w:val="00FF44F2"/>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A50F"/>
  <w15:docId w15:val="{E2046245-A9C8-4312-9DD7-7A0BD83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A7"/>
    <w:pPr>
      <w:spacing w:after="200" w:line="276" w:lineRule="auto"/>
    </w:pPr>
    <w:rPr>
      <w:rFonts w:eastAsiaTheme="minorEastAsia"/>
      <w:lang w:eastAsia="en-GB"/>
    </w:rPr>
  </w:style>
  <w:style w:type="paragraph" w:styleId="Heading1">
    <w:name w:val="heading 1"/>
    <w:basedOn w:val="Normal"/>
    <w:next w:val="Normal"/>
    <w:link w:val="Heading1Char"/>
    <w:qFormat/>
    <w:rsid w:val="00957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74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74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E1"/>
    <w:rPr>
      <w:rFonts w:ascii="Segoe UI" w:hAnsi="Segoe UI" w:cs="Segoe UI"/>
      <w:sz w:val="18"/>
      <w:szCs w:val="18"/>
    </w:rPr>
  </w:style>
  <w:style w:type="paragraph" w:styleId="ListParagraph">
    <w:name w:val="List Paragraph"/>
    <w:basedOn w:val="Normal"/>
    <w:link w:val="ListParagraphChar"/>
    <w:uiPriority w:val="34"/>
    <w:qFormat/>
    <w:rsid w:val="0061056F"/>
    <w:pPr>
      <w:ind w:left="720"/>
      <w:contextualSpacing/>
    </w:pPr>
  </w:style>
  <w:style w:type="paragraph" w:styleId="Header">
    <w:name w:val="header"/>
    <w:basedOn w:val="Normal"/>
    <w:link w:val="HeaderChar"/>
    <w:uiPriority w:val="99"/>
    <w:unhideWhenUsed/>
    <w:rsid w:val="00ED6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6D5"/>
  </w:style>
  <w:style w:type="paragraph" w:styleId="Footer">
    <w:name w:val="footer"/>
    <w:basedOn w:val="Normal"/>
    <w:link w:val="FooterChar"/>
    <w:uiPriority w:val="99"/>
    <w:unhideWhenUsed/>
    <w:rsid w:val="00ED6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6D5"/>
  </w:style>
  <w:style w:type="character" w:styleId="CommentReference">
    <w:name w:val="annotation reference"/>
    <w:basedOn w:val="DefaultParagraphFont"/>
    <w:uiPriority w:val="99"/>
    <w:semiHidden/>
    <w:unhideWhenUsed/>
    <w:rsid w:val="001D180B"/>
    <w:rPr>
      <w:sz w:val="16"/>
      <w:szCs w:val="16"/>
    </w:rPr>
  </w:style>
  <w:style w:type="paragraph" w:styleId="CommentText">
    <w:name w:val="annotation text"/>
    <w:basedOn w:val="Normal"/>
    <w:link w:val="CommentTextChar"/>
    <w:uiPriority w:val="99"/>
    <w:unhideWhenUsed/>
    <w:rsid w:val="001D180B"/>
    <w:pPr>
      <w:spacing w:line="240" w:lineRule="auto"/>
    </w:pPr>
    <w:rPr>
      <w:sz w:val="20"/>
      <w:szCs w:val="20"/>
    </w:rPr>
  </w:style>
  <w:style w:type="character" w:customStyle="1" w:styleId="CommentTextChar">
    <w:name w:val="Comment Text Char"/>
    <w:basedOn w:val="DefaultParagraphFont"/>
    <w:link w:val="CommentText"/>
    <w:uiPriority w:val="99"/>
    <w:rsid w:val="001D180B"/>
    <w:rPr>
      <w:sz w:val="20"/>
      <w:szCs w:val="20"/>
    </w:rPr>
  </w:style>
  <w:style w:type="paragraph" w:styleId="CommentSubject">
    <w:name w:val="annotation subject"/>
    <w:basedOn w:val="CommentText"/>
    <w:next w:val="CommentText"/>
    <w:link w:val="CommentSubjectChar"/>
    <w:uiPriority w:val="99"/>
    <w:semiHidden/>
    <w:unhideWhenUsed/>
    <w:rsid w:val="001D180B"/>
    <w:rPr>
      <w:b/>
      <w:bCs/>
    </w:rPr>
  </w:style>
  <w:style w:type="character" w:customStyle="1" w:styleId="CommentSubjectChar">
    <w:name w:val="Comment Subject Char"/>
    <w:basedOn w:val="CommentTextChar"/>
    <w:link w:val="CommentSubject"/>
    <w:uiPriority w:val="99"/>
    <w:semiHidden/>
    <w:rsid w:val="001D180B"/>
    <w:rPr>
      <w:b/>
      <w:bCs/>
      <w:sz w:val="20"/>
      <w:szCs w:val="20"/>
    </w:rPr>
  </w:style>
  <w:style w:type="character" w:customStyle="1" w:styleId="Heading1Char">
    <w:name w:val="Heading 1 Char"/>
    <w:basedOn w:val="DefaultParagraphFont"/>
    <w:link w:val="Heading1"/>
    <w:rsid w:val="009574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74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74C5"/>
    <w:rPr>
      <w:rFonts w:asciiTheme="majorHAnsi" w:eastAsiaTheme="majorEastAsia" w:hAnsiTheme="majorHAnsi" w:cstheme="majorBidi"/>
      <w:color w:val="1F4D78" w:themeColor="accent1" w:themeShade="7F"/>
      <w:sz w:val="24"/>
      <w:szCs w:val="24"/>
    </w:rPr>
  </w:style>
  <w:style w:type="character" w:customStyle="1" w:styleId="tgc">
    <w:name w:val="_tgc"/>
    <w:basedOn w:val="DefaultParagraphFont"/>
    <w:rsid w:val="005C20CC"/>
  </w:style>
  <w:style w:type="paragraph" w:customStyle="1" w:styleId="Default">
    <w:name w:val="Default"/>
    <w:rsid w:val="005164A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5164A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EA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DF9"/>
    <w:pPr>
      <w:spacing w:after="0" w:line="240" w:lineRule="auto"/>
    </w:pPr>
    <w:rPr>
      <w:rFonts w:eastAsiaTheme="minorEastAsia"/>
      <w:lang w:eastAsia="en-GB"/>
    </w:rPr>
  </w:style>
  <w:style w:type="character" w:customStyle="1" w:styleId="ListParagraphChar">
    <w:name w:val="List Paragraph Char"/>
    <w:basedOn w:val="DefaultParagraphFont"/>
    <w:link w:val="ListParagraph"/>
    <w:uiPriority w:val="34"/>
    <w:locked/>
    <w:rsid w:val="003357F3"/>
    <w:rPr>
      <w:rFonts w:eastAsiaTheme="minorEastAsia"/>
      <w:lang w:eastAsia="en-GB"/>
    </w:rPr>
  </w:style>
  <w:style w:type="paragraph" w:styleId="EndnoteText">
    <w:name w:val="endnote text"/>
    <w:basedOn w:val="Normal"/>
    <w:link w:val="EndnoteTextChar"/>
    <w:uiPriority w:val="99"/>
    <w:semiHidden/>
    <w:unhideWhenUsed/>
    <w:rsid w:val="00C503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03BA"/>
    <w:rPr>
      <w:rFonts w:eastAsiaTheme="minorEastAsia"/>
      <w:sz w:val="20"/>
      <w:szCs w:val="20"/>
      <w:lang w:eastAsia="en-GB"/>
    </w:rPr>
  </w:style>
  <w:style w:type="character" w:styleId="EndnoteReference">
    <w:name w:val="endnote reference"/>
    <w:basedOn w:val="DefaultParagraphFont"/>
    <w:uiPriority w:val="99"/>
    <w:semiHidden/>
    <w:unhideWhenUsed/>
    <w:rsid w:val="00C50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80334">
      <w:bodyDiv w:val="1"/>
      <w:marLeft w:val="0"/>
      <w:marRight w:val="0"/>
      <w:marTop w:val="0"/>
      <w:marBottom w:val="0"/>
      <w:divBdr>
        <w:top w:val="none" w:sz="0" w:space="0" w:color="auto"/>
        <w:left w:val="none" w:sz="0" w:space="0" w:color="auto"/>
        <w:bottom w:val="none" w:sz="0" w:space="0" w:color="auto"/>
        <w:right w:val="none" w:sz="0" w:space="0" w:color="auto"/>
      </w:divBdr>
    </w:div>
    <w:div w:id="17059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E8C3040211C478805B61447A7AC57" ma:contentTypeVersion="13" ma:contentTypeDescription="Create a new document." ma:contentTypeScope="" ma:versionID="54a3fbc2af8e60ea353310f0dbc617fd">
  <xsd:schema xmlns:xsd="http://www.w3.org/2001/XMLSchema" xmlns:xs="http://www.w3.org/2001/XMLSchema" xmlns:p="http://schemas.microsoft.com/office/2006/metadata/properties" xmlns:ns3="09994a29-d462-4f4b-b3cf-2ad0f6dcd12d" xmlns:ns4="be28d563-32b6-409e-a9cb-f6c81882572c" targetNamespace="http://schemas.microsoft.com/office/2006/metadata/properties" ma:root="true" ma:fieldsID="306edc42bf8c1ef3173cb6574b6c5eb8" ns3:_="" ns4:_="">
    <xsd:import namespace="09994a29-d462-4f4b-b3cf-2ad0f6dcd12d"/>
    <xsd:import namespace="be28d563-32b6-409e-a9cb-f6c8188257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94a29-d462-4f4b-b3cf-2ad0f6dcd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8d563-32b6-409e-a9cb-f6c8188257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C145D-DD1E-4490-A573-55096B5F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94a29-d462-4f4b-b3cf-2ad0f6dcd12d"/>
    <ds:schemaRef ds:uri="be28d563-32b6-409e-a9cb-f6c818825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CC7D5-FB8C-49A5-82DA-E262CE1694A6}">
  <ds:schemaRefs>
    <ds:schemaRef ds:uri="http://schemas.microsoft.com/sharepoint/v3/contenttype/forms"/>
  </ds:schemaRefs>
</ds:datastoreItem>
</file>

<file path=customXml/itemProps3.xml><?xml version="1.0" encoding="utf-8"?>
<ds:datastoreItem xmlns:ds="http://schemas.openxmlformats.org/officeDocument/2006/customXml" ds:itemID="{3775EF58-6204-490F-9BFA-56D8AEDB0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533582-BF8E-4E3D-8FA3-3FE134FA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Dexter</dc:creator>
  <cp:keywords/>
  <dc:description/>
  <cp:lastModifiedBy>Tom Beasley</cp:lastModifiedBy>
  <cp:revision>2</cp:revision>
  <cp:lastPrinted>2018-11-07T10:51:00Z</cp:lastPrinted>
  <dcterms:created xsi:type="dcterms:W3CDTF">2021-05-27T12:56:00Z</dcterms:created>
  <dcterms:modified xsi:type="dcterms:W3CDTF">2021-05-27T12:56:00Z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0x010100935E8C3040211C478805B61447A7AC57</vt:lpwstr>
  </property>
</Properties>
</file>